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62A" w:rsidRPr="008861F5" w:rsidRDefault="003E762A">
      <w:pPr>
        <w:pStyle w:val="Body"/>
        <w:rPr>
          <w:b/>
          <w:bCs/>
          <w:color w:val="000000" w:themeColor="text1"/>
          <w:sz w:val="24"/>
          <w:szCs w:val="24"/>
          <w:lang w:val="en-GB"/>
        </w:rPr>
      </w:pPr>
      <w:r w:rsidRPr="008861F5">
        <w:rPr>
          <w:b/>
          <w:bCs/>
          <w:color w:val="000000" w:themeColor="text1"/>
          <w:sz w:val="24"/>
          <w:szCs w:val="24"/>
          <w:lang w:val="en-GB"/>
        </w:rPr>
        <w:t>Article Title</w:t>
      </w:r>
    </w:p>
    <w:p w:rsidR="003E762A" w:rsidRPr="008861F5" w:rsidRDefault="003E762A" w:rsidP="00A456FC">
      <w:pPr>
        <w:pStyle w:val="Body"/>
        <w:rPr>
          <w:color w:val="000000" w:themeColor="text1"/>
          <w:u w:color="1F497D"/>
          <w:lang w:val="en-GB"/>
        </w:rPr>
      </w:pPr>
      <w:r w:rsidRPr="008861F5">
        <w:rPr>
          <w:color w:val="000000" w:themeColor="text1"/>
          <w:u w:color="1F497D"/>
          <w:lang w:val="en-GB"/>
        </w:rPr>
        <w:t>Dataset on ten-years monitoring of MSWI bottom ash</w:t>
      </w:r>
      <w:r>
        <w:rPr>
          <w:color w:val="000000" w:themeColor="text1"/>
          <w:u w:color="1F497D"/>
          <w:lang w:val="en-GB"/>
        </w:rPr>
        <w:t>es</w:t>
      </w:r>
      <w:r w:rsidRPr="008861F5">
        <w:rPr>
          <w:color w:val="000000" w:themeColor="text1"/>
          <w:u w:color="1F497D"/>
          <w:lang w:val="en-GB"/>
        </w:rPr>
        <w:t xml:space="preserve"> in six MSWI plants in the Canton of Zürich, Switzerland</w:t>
      </w:r>
    </w:p>
    <w:p w:rsidR="003E762A" w:rsidRPr="00E444AE" w:rsidRDefault="003E762A">
      <w:pPr>
        <w:pStyle w:val="Body"/>
        <w:rPr>
          <w:b/>
          <w:bCs/>
          <w:color w:val="000000" w:themeColor="text1"/>
          <w:sz w:val="24"/>
          <w:szCs w:val="24"/>
          <w:lang w:val="de-CH"/>
        </w:rPr>
      </w:pPr>
      <w:proofErr w:type="spellStart"/>
      <w:r w:rsidRPr="00E444AE">
        <w:rPr>
          <w:b/>
          <w:bCs/>
          <w:color w:val="000000" w:themeColor="text1"/>
          <w:sz w:val="24"/>
          <w:szCs w:val="24"/>
          <w:lang w:val="de-CH"/>
        </w:rPr>
        <w:t>Authors</w:t>
      </w:r>
      <w:proofErr w:type="spellEnd"/>
    </w:p>
    <w:p w:rsidR="003E762A" w:rsidRPr="008861F5" w:rsidRDefault="003E762A" w:rsidP="00A456FC">
      <w:pPr>
        <w:pStyle w:val="Body"/>
        <w:rPr>
          <w:color w:val="000000" w:themeColor="text1"/>
          <w:u w:color="1F497D"/>
          <w:lang w:val="de-CH"/>
        </w:rPr>
      </w:pPr>
      <w:r w:rsidRPr="008861F5">
        <w:rPr>
          <w:color w:val="000000" w:themeColor="text1"/>
          <w:u w:color="1F497D"/>
          <w:lang w:val="de-CH"/>
        </w:rPr>
        <w:t>Andreas Glauser</w:t>
      </w:r>
      <w:r w:rsidRPr="008861F5">
        <w:rPr>
          <w:color w:val="000000" w:themeColor="text1"/>
          <w:u w:color="1F497D"/>
          <w:vertAlign w:val="superscript"/>
          <w:lang w:val="de-CH"/>
        </w:rPr>
        <w:t>1</w:t>
      </w:r>
      <w:r w:rsidRPr="008861F5">
        <w:rPr>
          <w:color w:val="000000" w:themeColor="text1"/>
          <w:u w:color="1F497D"/>
          <w:lang w:val="de-CH"/>
        </w:rPr>
        <w:t>, Leo S. Morf</w:t>
      </w:r>
      <w:r w:rsidRPr="008861F5">
        <w:rPr>
          <w:color w:val="000000" w:themeColor="text1"/>
          <w:u w:color="1F497D"/>
          <w:vertAlign w:val="superscript"/>
          <w:lang w:val="de-CH"/>
        </w:rPr>
        <w:t>2</w:t>
      </w:r>
      <w:r w:rsidRPr="008861F5">
        <w:rPr>
          <w:color w:val="000000" w:themeColor="text1"/>
          <w:u w:color="1F497D"/>
          <w:lang w:val="de-CH"/>
        </w:rPr>
        <w:t>, Gisela Weibel</w:t>
      </w:r>
      <w:r w:rsidRPr="008861F5">
        <w:rPr>
          <w:color w:val="000000" w:themeColor="text1"/>
          <w:u w:color="1F497D"/>
          <w:vertAlign w:val="superscript"/>
          <w:lang w:val="de-CH"/>
        </w:rPr>
        <w:t>1, 3</w:t>
      </w:r>
      <w:r w:rsidRPr="008861F5">
        <w:rPr>
          <w:color w:val="000000" w:themeColor="text1"/>
          <w:u w:color="1F497D"/>
          <w:lang w:val="de-CH"/>
        </w:rPr>
        <w:t>, Urs Eggenberger</w:t>
      </w:r>
      <w:r w:rsidRPr="008861F5">
        <w:rPr>
          <w:color w:val="000000" w:themeColor="text1"/>
          <w:u w:color="1F497D"/>
          <w:vertAlign w:val="superscript"/>
          <w:lang w:val="de-CH"/>
        </w:rPr>
        <w:t>1</w:t>
      </w:r>
    </w:p>
    <w:p w:rsidR="003E762A" w:rsidRPr="00E444AE" w:rsidRDefault="003E762A" w:rsidP="00A456FC">
      <w:pPr>
        <w:pStyle w:val="Body"/>
        <w:rPr>
          <w:b/>
          <w:bCs/>
          <w:color w:val="000000" w:themeColor="text1"/>
          <w:sz w:val="24"/>
          <w:szCs w:val="24"/>
          <w:lang w:val="de-CH"/>
        </w:rPr>
      </w:pPr>
      <w:proofErr w:type="spellStart"/>
      <w:r w:rsidRPr="00E444AE">
        <w:rPr>
          <w:b/>
          <w:bCs/>
          <w:color w:val="000000" w:themeColor="text1"/>
          <w:sz w:val="24"/>
          <w:szCs w:val="24"/>
          <w:lang w:val="de-CH"/>
        </w:rPr>
        <w:t>Affiliations</w:t>
      </w:r>
      <w:proofErr w:type="spellEnd"/>
    </w:p>
    <w:p w:rsidR="003E762A" w:rsidRPr="008861F5" w:rsidRDefault="003E762A" w:rsidP="00A456FC">
      <w:pPr>
        <w:pStyle w:val="Body"/>
        <w:rPr>
          <w:color w:val="000000" w:themeColor="text1"/>
          <w:u w:color="1F497D"/>
          <w:lang w:val="de-CH"/>
        </w:rPr>
      </w:pPr>
      <w:r w:rsidRPr="008861F5">
        <w:rPr>
          <w:color w:val="000000" w:themeColor="text1"/>
          <w:u w:color="1F497D"/>
          <w:lang w:val="de-CH"/>
        </w:rPr>
        <w:t>1.</w:t>
      </w:r>
      <w:r>
        <w:rPr>
          <w:color w:val="000000" w:themeColor="text1"/>
          <w:u w:color="1F497D"/>
          <w:lang w:val="de-CH"/>
        </w:rPr>
        <w:t xml:space="preserve"> </w:t>
      </w:r>
      <w:r w:rsidRPr="008861F5">
        <w:rPr>
          <w:color w:val="000000" w:themeColor="text1"/>
          <w:u w:color="1F497D"/>
          <w:lang w:val="de-CH"/>
        </w:rPr>
        <w:t xml:space="preserve">Institut für Geologie, Universität Bern, </w:t>
      </w:r>
      <w:proofErr w:type="spellStart"/>
      <w:r w:rsidRPr="008861F5">
        <w:rPr>
          <w:color w:val="000000" w:themeColor="text1"/>
          <w:u w:color="1F497D"/>
          <w:lang w:val="de-CH"/>
        </w:rPr>
        <w:t>Switzerland</w:t>
      </w:r>
      <w:proofErr w:type="spellEnd"/>
    </w:p>
    <w:p w:rsidR="003E762A" w:rsidRPr="008861F5" w:rsidRDefault="003E762A" w:rsidP="00A456FC">
      <w:pPr>
        <w:pStyle w:val="Body"/>
        <w:rPr>
          <w:color w:val="000000" w:themeColor="text1"/>
          <w:u w:color="1F497D"/>
          <w:lang w:val="de-CH"/>
        </w:rPr>
      </w:pPr>
      <w:r w:rsidRPr="008861F5">
        <w:rPr>
          <w:color w:val="000000" w:themeColor="text1"/>
          <w:u w:color="1F497D"/>
          <w:lang w:val="de-CH"/>
        </w:rPr>
        <w:t>2.</w:t>
      </w:r>
      <w:r>
        <w:rPr>
          <w:color w:val="000000" w:themeColor="text1"/>
          <w:u w:color="1F497D"/>
          <w:lang w:val="de-CH"/>
        </w:rPr>
        <w:t xml:space="preserve"> </w:t>
      </w:r>
      <w:r w:rsidRPr="008861F5">
        <w:rPr>
          <w:color w:val="000000" w:themeColor="text1"/>
          <w:u w:color="1F497D"/>
          <w:lang w:val="de-CH"/>
        </w:rPr>
        <w:t xml:space="preserve">Baudirektion Kanton Zürich, Amt für Abfall, Wasser, Energie und Luft, Zürich, </w:t>
      </w:r>
      <w:proofErr w:type="spellStart"/>
      <w:r w:rsidRPr="008861F5">
        <w:rPr>
          <w:color w:val="000000" w:themeColor="text1"/>
          <w:u w:color="1F497D"/>
          <w:lang w:val="de-CH"/>
        </w:rPr>
        <w:t>Switzerland</w:t>
      </w:r>
      <w:proofErr w:type="spellEnd"/>
    </w:p>
    <w:p w:rsidR="003E762A" w:rsidRPr="008861F5" w:rsidRDefault="003E762A" w:rsidP="00A456FC">
      <w:pPr>
        <w:pStyle w:val="Body"/>
        <w:rPr>
          <w:color w:val="000000" w:themeColor="text1"/>
          <w:u w:color="1F497D"/>
          <w:lang w:val="de-CH"/>
        </w:rPr>
      </w:pPr>
      <w:r w:rsidRPr="008861F5">
        <w:rPr>
          <w:color w:val="000000" w:themeColor="text1"/>
          <w:u w:color="1F497D"/>
          <w:lang w:val="de-CH"/>
        </w:rPr>
        <w:t>3.</w:t>
      </w:r>
      <w:r>
        <w:rPr>
          <w:color w:val="000000" w:themeColor="text1"/>
          <w:u w:color="1F497D"/>
          <w:lang w:val="de-CH"/>
        </w:rPr>
        <w:t xml:space="preserve"> </w:t>
      </w:r>
      <w:r w:rsidRPr="008861F5">
        <w:rPr>
          <w:color w:val="000000" w:themeColor="text1"/>
          <w:u w:color="1F497D"/>
          <w:lang w:val="de-CH"/>
        </w:rPr>
        <w:t xml:space="preserve">Zentrum für nachhaltige Abfall- und Ressourcennutzung ZAR, Hinwil, </w:t>
      </w:r>
      <w:proofErr w:type="spellStart"/>
      <w:r w:rsidRPr="008861F5">
        <w:rPr>
          <w:color w:val="000000" w:themeColor="text1"/>
          <w:u w:color="1F497D"/>
          <w:lang w:val="de-CH"/>
        </w:rPr>
        <w:t>Switzerland</w:t>
      </w:r>
      <w:proofErr w:type="spellEnd"/>
    </w:p>
    <w:p w:rsidR="003E762A" w:rsidRPr="008861F5" w:rsidRDefault="003E762A" w:rsidP="00A456FC">
      <w:pPr>
        <w:pStyle w:val="Body"/>
        <w:rPr>
          <w:b/>
          <w:bCs/>
          <w:color w:val="000000" w:themeColor="text1"/>
          <w:sz w:val="24"/>
          <w:szCs w:val="24"/>
          <w:lang w:val="en-GB"/>
        </w:rPr>
      </w:pPr>
      <w:r w:rsidRPr="008861F5">
        <w:rPr>
          <w:b/>
          <w:bCs/>
          <w:color w:val="000000" w:themeColor="text1"/>
          <w:sz w:val="24"/>
          <w:szCs w:val="24"/>
          <w:lang w:val="en-GB"/>
        </w:rPr>
        <w:t>Corresponding author(s)</w:t>
      </w:r>
    </w:p>
    <w:p w:rsidR="003E762A" w:rsidRPr="008861F5" w:rsidRDefault="003E762A" w:rsidP="00BF17DE">
      <w:pPr>
        <w:pStyle w:val="Body"/>
        <w:rPr>
          <w:color w:val="000000" w:themeColor="text1"/>
          <w:u w:color="1F497D"/>
          <w:lang w:val="en-GB"/>
        </w:rPr>
      </w:pPr>
      <w:r w:rsidRPr="008861F5">
        <w:rPr>
          <w:color w:val="000000" w:themeColor="text1"/>
          <w:u w:color="1F497D"/>
          <w:lang w:val="en-GB"/>
        </w:rPr>
        <w:t>Andreas Glauser (andreas.glauser@geo.unibe.ch)</w:t>
      </w:r>
    </w:p>
    <w:p w:rsidR="003E762A" w:rsidRPr="008861F5" w:rsidRDefault="003E762A">
      <w:pPr>
        <w:pStyle w:val="Body"/>
        <w:spacing w:after="0"/>
        <w:rPr>
          <w:b/>
          <w:bCs/>
          <w:color w:val="000000" w:themeColor="text1"/>
          <w:sz w:val="24"/>
          <w:szCs w:val="24"/>
          <w:lang w:val="en-GB"/>
        </w:rPr>
      </w:pPr>
      <w:r w:rsidRPr="008861F5">
        <w:rPr>
          <w:b/>
          <w:bCs/>
          <w:color w:val="000000" w:themeColor="text1"/>
          <w:sz w:val="24"/>
          <w:szCs w:val="24"/>
          <w:lang w:val="en-GB"/>
        </w:rPr>
        <w:t>Abstract</w:t>
      </w:r>
    </w:p>
    <w:p w:rsidR="003E762A" w:rsidRPr="008861F5" w:rsidRDefault="003E762A" w:rsidP="00D03BEE">
      <w:pPr>
        <w:pStyle w:val="Body"/>
        <w:jc w:val="both"/>
        <w:rPr>
          <w:color w:val="000000" w:themeColor="text1"/>
          <w:u w:color="1F497D"/>
          <w:lang w:val="en-GB"/>
        </w:rPr>
      </w:pPr>
      <w:r w:rsidRPr="008861F5">
        <w:rPr>
          <w:color w:val="000000" w:themeColor="text1"/>
          <w:u w:color="1F497D"/>
          <w:lang w:val="en-GB"/>
        </w:rPr>
        <w:t>The dataset presented in this article is the supplementary data for the research article “Ten-years monitoring of MSWI bottom ashes with focus on TOC development and leaching behaviour” by Glauser et al. (2020)</w:t>
      </w:r>
      <w:r>
        <w:rPr>
          <w:color w:val="000000" w:themeColor="text1"/>
          <w:u w:color="1F497D"/>
          <w:lang w:val="en-GB"/>
        </w:rPr>
        <w:t xml:space="preserve"> </w:t>
      </w:r>
      <w:r>
        <w:rPr>
          <w:noProof/>
          <w:color w:val="000000" w:themeColor="text1"/>
          <w:u w:color="1F497D"/>
          <w:lang w:val="en-GB"/>
        </w:rPr>
        <w:t>[1]</w:t>
      </w:r>
      <w:r w:rsidRPr="008861F5">
        <w:rPr>
          <w:color w:val="000000" w:themeColor="text1"/>
          <w:u w:color="1F497D"/>
          <w:lang w:val="en-GB"/>
        </w:rPr>
        <w:t xml:space="preserve">. From 2008 – 2018 bottom ashes </w:t>
      </w:r>
      <w:proofErr w:type="gramStart"/>
      <w:r w:rsidRPr="008861F5">
        <w:rPr>
          <w:color w:val="000000" w:themeColor="text1"/>
          <w:u w:color="1F497D"/>
          <w:lang w:val="en-GB"/>
        </w:rPr>
        <w:t>have been monitored</w:t>
      </w:r>
      <w:proofErr w:type="gramEnd"/>
      <w:r w:rsidRPr="008861F5">
        <w:rPr>
          <w:color w:val="000000" w:themeColor="text1"/>
          <w:u w:color="1F497D"/>
          <w:lang w:val="en-GB"/>
        </w:rPr>
        <w:t xml:space="preserve"> in six MSWI plants in the Canton of Zürich with regular sampling campaigns and analysis of important species </w:t>
      </w:r>
      <w:r>
        <w:rPr>
          <w:color w:val="000000" w:themeColor="text1"/>
          <w:u w:color="1F497D"/>
          <w:lang w:val="en-GB"/>
        </w:rPr>
        <w:t>defined in</w:t>
      </w:r>
      <w:r w:rsidRPr="008861F5">
        <w:rPr>
          <w:color w:val="000000" w:themeColor="text1"/>
          <w:u w:color="1F497D"/>
          <w:lang w:val="en-GB"/>
        </w:rPr>
        <w:t xml:space="preserve"> </w:t>
      </w:r>
      <w:r>
        <w:rPr>
          <w:color w:val="000000" w:themeColor="text1"/>
          <w:u w:color="1F497D"/>
          <w:lang w:val="en-GB"/>
        </w:rPr>
        <w:t xml:space="preserve">the </w:t>
      </w:r>
      <w:r w:rsidRPr="008861F5">
        <w:rPr>
          <w:color w:val="000000" w:themeColor="text1"/>
          <w:u w:color="1F497D"/>
          <w:lang w:val="en-GB"/>
        </w:rPr>
        <w:t>Swiss Waste Legislation</w:t>
      </w:r>
      <w:r>
        <w:rPr>
          <w:color w:val="000000" w:themeColor="text1"/>
          <w:u w:color="1F497D"/>
          <w:lang w:val="en-GB"/>
        </w:rPr>
        <w:t xml:space="preserve"> </w:t>
      </w:r>
      <w:r>
        <w:rPr>
          <w:noProof/>
          <w:color w:val="000000" w:themeColor="text1"/>
          <w:u w:color="1F497D"/>
          <w:lang w:val="en-GB"/>
        </w:rPr>
        <w:t>[2]</w:t>
      </w:r>
      <w:r w:rsidRPr="008861F5">
        <w:rPr>
          <w:color w:val="000000" w:themeColor="text1"/>
          <w:u w:color="1F497D"/>
          <w:lang w:val="en-GB"/>
        </w:rPr>
        <w:t xml:space="preserve">. Both the size of the dataset and the long period of consistent and representative monitoring are unique for Switzerland. Relevant aspects of the monitoring data are discussed and interpreted in the above mentioned </w:t>
      </w:r>
      <w:r>
        <w:rPr>
          <w:color w:val="000000" w:themeColor="text1"/>
          <w:u w:color="1F497D"/>
          <w:lang w:val="en-GB"/>
        </w:rPr>
        <w:t xml:space="preserve">research </w:t>
      </w:r>
      <w:r w:rsidRPr="008861F5">
        <w:rPr>
          <w:color w:val="000000" w:themeColor="text1"/>
          <w:u w:color="1F497D"/>
          <w:lang w:val="en-GB"/>
        </w:rPr>
        <w:t>article</w:t>
      </w:r>
      <w:r>
        <w:rPr>
          <w:color w:val="000000" w:themeColor="text1"/>
          <w:u w:color="1F497D"/>
          <w:lang w:val="en-GB"/>
        </w:rPr>
        <w:t xml:space="preserve"> and complemented by simple emission forecast modelling</w:t>
      </w:r>
      <w:r w:rsidRPr="008861F5">
        <w:rPr>
          <w:color w:val="000000" w:themeColor="text1"/>
          <w:u w:color="1F497D"/>
          <w:lang w:val="en-GB"/>
        </w:rPr>
        <w:t xml:space="preserve">. </w:t>
      </w:r>
      <w:r>
        <w:rPr>
          <w:color w:val="000000" w:themeColor="text1"/>
          <w:u w:color="1F497D"/>
          <w:lang w:val="en-GB"/>
        </w:rPr>
        <w:t xml:space="preserve">While only selected species </w:t>
      </w:r>
      <w:proofErr w:type="gramStart"/>
      <w:r>
        <w:rPr>
          <w:color w:val="000000" w:themeColor="text1"/>
          <w:u w:color="1F497D"/>
          <w:lang w:val="en-GB"/>
        </w:rPr>
        <w:t>were discussed</w:t>
      </w:r>
      <w:proofErr w:type="gramEnd"/>
      <w:r>
        <w:rPr>
          <w:color w:val="000000" w:themeColor="text1"/>
          <w:u w:color="1F497D"/>
          <w:lang w:val="en-GB"/>
        </w:rPr>
        <w:t xml:space="preserve"> in the research article, this data article covers all the monitoring data. </w:t>
      </w:r>
      <w:r w:rsidRPr="008861F5">
        <w:rPr>
          <w:color w:val="000000" w:themeColor="text1"/>
          <w:u w:color="1F497D"/>
          <w:lang w:val="en-GB"/>
        </w:rPr>
        <w:t xml:space="preserve">The focus of the </w:t>
      </w:r>
      <w:r>
        <w:rPr>
          <w:color w:val="000000" w:themeColor="text1"/>
          <w:u w:color="1F497D"/>
          <w:lang w:val="en-GB"/>
        </w:rPr>
        <w:t xml:space="preserve">monitoring </w:t>
      </w:r>
      <w:proofErr w:type="gramStart"/>
      <w:r w:rsidRPr="008861F5">
        <w:rPr>
          <w:color w:val="000000" w:themeColor="text1"/>
          <w:u w:color="1F497D"/>
          <w:lang w:val="en-GB"/>
        </w:rPr>
        <w:t>was laid</w:t>
      </w:r>
      <w:proofErr w:type="gramEnd"/>
      <w:r w:rsidRPr="008861F5">
        <w:rPr>
          <w:color w:val="000000" w:themeColor="text1"/>
          <w:u w:color="1F497D"/>
          <w:lang w:val="en-GB"/>
        </w:rPr>
        <w:t xml:space="preserve"> on </w:t>
      </w:r>
      <w:r>
        <w:rPr>
          <w:color w:val="000000" w:themeColor="text1"/>
          <w:u w:color="1F497D"/>
          <w:lang w:val="en-GB"/>
        </w:rPr>
        <w:t>carbon-species with the analysis of total carbon (</w:t>
      </w:r>
      <w:r w:rsidRPr="008861F5">
        <w:rPr>
          <w:color w:val="000000" w:themeColor="text1"/>
          <w:u w:color="1F497D"/>
          <w:lang w:val="en-GB"/>
        </w:rPr>
        <w:t>TC</w:t>
      </w:r>
      <w:r>
        <w:rPr>
          <w:color w:val="000000" w:themeColor="text1"/>
          <w:u w:color="1F497D"/>
          <w:lang w:val="en-GB"/>
        </w:rPr>
        <w:t>)</w:t>
      </w:r>
      <w:r w:rsidRPr="008861F5">
        <w:rPr>
          <w:color w:val="000000" w:themeColor="text1"/>
          <w:u w:color="1F497D"/>
          <w:lang w:val="en-GB"/>
        </w:rPr>
        <w:t xml:space="preserve">, </w:t>
      </w:r>
      <w:r>
        <w:rPr>
          <w:color w:val="000000" w:themeColor="text1"/>
          <w:u w:color="1F497D"/>
          <w:lang w:val="en-GB"/>
        </w:rPr>
        <w:t>total organic carbon (</w:t>
      </w:r>
      <w:r w:rsidRPr="008861F5">
        <w:rPr>
          <w:color w:val="000000" w:themeColor="text1"/>
          <w:u w:color="1F497D"/>
          <w:lang w:val="en-GB"/>
        </w:rPr>
        <w:t>TOC</w:t>
      </w:r>
      <w:r>
        <w:rPr>
          <w:color w:val="000000" w:themeColor="text1"/>
          <w:u w:color="1F497D"/>
          <w:lang w:val="en-GB"/>
        </w:rPr>
        <w:t>)</w:t>
      </w:r>
      <w:r w:rsidRPr="008861F5">
        <w:rPr>
          <w:color w:val="000000" w:themeColor="text1"/>
          <w:u w:color="1F497D"/>
          <w:lang w:val="en-GB"/>
        </w:rPr>
        <w:t xml:space="preserve">, </w:t>
      </w:r>
      <w:r>
        <w:rPr>
          <w:color w:val="000000" w:themeColor="text1"/>
          <w:u w:color="1F497D"/>
          <w:lang w:val="en-GB"/>
        </w:rPr>
        <w:t>total inorganic carbon</w:t>
      </w:r>
      <w:r w:rsidRPr="008861F5">
        <w:rPr>
          <w:color w:val="000000" w:themeColor="text1"/>
          <w:u w:color="1F497D"/>
          <w:lang w:val="en-GB"/>
        </w:rPr>
        <w:t xml:space="preserve"> </w:t>
      </w:r>
      <w:r>
        <w:rPr>
          <w:color w:val="000000" w:themeColor="text1"/>
          <w:u w:color="1F497D"/>
          <w:lang w:val="en-GB"/>
        </w:rPr>
        <w:t>(</w:t>
      </w:r>
      <w:r w:rsidRPr="008861F5">
        <w:rPr>
          <w:color w:val="000000" w:themeColor="text1"/>
          <w:u w:color="1F497D"/>
          <w:lang w:val="en-GB"/>
        </w:rPr>
        <w:t>TIC</w:t>
      </w:r>
      <w:r>
        <w:rPr>
          <w:color w:val="000000" w:themeColor="text1"/>
          <w:u w:color="1F497D"/>
          <w:lang w:val="en-GB"/>
        </w:rPr>
        <w:t>)</w:t>
      </w:r>
      <w:r w:rsidRPr="008861F5">
        <w:rPr>
          <w:color w:val="000000" w:themeColor="text1"/>
          <w:u w:color="1F497D"/>
          <w:lang w:val="en-GB"/>
        </w:rPr>
        <w:t xml:space="preserve">, </w:t>
      </w:r>
      <w:r w:rsidRPr="00646B5D">
        <w:rPr>
          <w:color w:val="000000" w:themeColor="text1"/>
          <w:u w:color="1F497D"/>
          <w:lang w:val="en-GB"/>
        </w:rPr>
        <w:t>degradable organic carbon</w:t>
      </w:r>
      <w:r w:rsidRPr="008861F5">
        <w:rPr>
          <w:color w:val="000000" w:themeColor="text1"/>
          <w:u w:color="1F497D"/>
          <w:lang w:val="en-GB"/>
        </w:rPr>
        <w:t xml:space="preserve"> </w:t>
      </w:r>
      <w:r>
        <w:rPr>
          <w:color w:val="000000" w:themeColor="text1"/>
          <w:u w:color="1F497D"/>
          <w:lang w:val="en-GB"/>
        </w:rPr>
        <w:t>(</w:t>
      </w:r>
      <w:r w:rsidRPr="008861F5">
        <w:rPr>
          <w:color w:val="000000" w:themeColor="text1"/>
          <w:u w:color="1F497D"/>
          <w:lang w:val="en-GB"/>
        </w:rPr>
        <w:t>OC</w:t>
      </w:r>
      <w:r>
        <w:rPr>
          <w:color w:val="000000" w:themeColor="text1"/>
          <w:u w:color="1F497D"/>
          <w:lang w:val="en-GB"/>
        </w:rPr>
        <w:t>) and elemental carbon</w:t>
      </w:r>
      <w:r w:rsidRPr="008861F5">
        <w:rPr>
          <w:color w:val="000000" w:themeColor="text1"/>
          <w:u w:color="1F497D"/>
          <w:lang w:val="en-GB"/>
        </w:rPr>
        <w:t xml:space="preserve"> </w:t>
      </w:r>
      <w:r>
        <w:rPr>
          <w:color w:val="000000" w:themeColor="text1"/>
          <w:u w:color="1F497D"/>
          <w:lang w:val="en-GB"/>
        </w:rPr>
        <w:t>(</w:t>
      </w:r>
      <w:r w:rsidRPr="008861F5">
        <w:rPr>
          <w:color w:val="000000" w:themeColor="text1"/>
          <w:u w:color="1F497D"/>
          <w:lang w:val="en-GB"/>
        </w:rPr>
        <w:t>EC)</w:t>
      </w:r>
      <w:r>
        <w:rPr>
          <w:color w:val="000000" w:themeColor="text1"/>
          <w:u w:color="1F497D"/>
          <w:lang w:val="en-GB"/>
        </w:rPr>
        <w:t>. Total contents of nitrogen</w:t>
      </w:r>
      <w:r w:rsidRPr="008861F5">
        <w:rPr>
          <w:color w:val="000000" w:themeColor="text1"/>
          <w:u w:color="1F497D"/>
          <w:lang w:val="en-GB"/>
        </w:rPr>
        <w:t xml:space="preserve"> </w:t>
      </w:r>
      <w:r>
        <w:rPr>
          <w:color w:val="000000" w:themeColor="text1"/>
          <w:u w:color="1F497D"/>
          <w:lang w:val="en-GB"/>
        </w:rPr>
        <w:t>(</w:t>
      </w:r>
      <w:r w:rsidRPr="008861F5">
        <w:rPr>
          <w:color w:val="000000" w:themeColor="text1"/>
          <w:u w:color="1F497D"/>
          <w:lang w:val="en-GB"/>
        </w:rPr>
        <w:t>N</w:t>
      </w:r>
      <w:r>
        <w:rPr>
          <w:color w:val="000000" w:themeColor="text1"/>
          <w:u w:color="1F497D"/>
          <w:lang w:val="en-GB"/>
        </w:rPr>
        <w:t>)</w:t>
      </w:r>
      <w:r w:rsidRPr="008861F5">
        <w:rPr>
          <w:color w:val="000000" w:themeColor="text1"/>
          <w:u w:color="1F497D"/>
          <w:lang w:val="en-GB"/>
        </w:rPr>
        <w:t xml:space="preserve">, </w:t>
      </w:r>
      <w:r>
        <w:rPr>
          <w:color w:val="000000" w:themeColor="text1"/>
          <w:u w:color="1F497D"/>
          <w:lang w:val="en-GB"/>
        </w:rPr>
        <w:t>sulphur (</w:t>
      </w:r>
      <w:r w:rsidRPr="008861F5">
        <w:rPr>
          <w:color w:val="000000" w:themeColor="text1"/>
          <w:u w:color="1F497D"/>
          <w:lang w:val="en-GB"/>
        </w:rPr>
        <w:t>S</w:t>
      </w:r>
      <w:r>
        <w:rPr>
          <w:color w:val="000000" w:themeColor="text1"/>
          <w:u w:color="1F497D"/>
          <w:lang w:val="en-GB"/>
        </w:rPr>
        <w:t>)</w:t>
      </w:r>
      <w:r w:rsidRPr="008861F5">
        <w:rPr>
          <w:color w:val="000000" w:themeColor="text1"/>
          <w:u w:color="1F497D"/>
          <w:lang w:val="en-GB"/>
        </w:rPr>
        <w:t xml:space="preserve">, </w:t>
      </w:r>
      <w:r>
        <w:rPr>
          <w:color w:val="000000" w:themeColor="text1"/>
          <w:u w:color="1F497D"/>
          <w:lang w:val="en-GB"/>
        </w:rPr>
        <w:t>phosphorus (</w:t>
      </w:r>
      <w:r w:rsidRPr="008861F5">
        <w:rPr>
          <w:color w:val="000000" w:themeColor="text1"/>
          <w:u w:color="1F497D"/>
          <w:lang w:val="en-GB"/>
        </w:rPr>
        <w:t>P</w:t>
      </w:r>
      <w:r>
        <w:rPr>
          <w:color w:val="000000" w:themeColor="text1"/>
          <w:u w:color="1F497D"/>
          <w:lang w:val="en-GB"/>
        </w:rPr>
        <w:t>),</w:t>
      </w:r>
      <w:r w:rsidRPr="008861F5">
        <w:rPr>
          <w:color w:val="000000" w:themeColor="text1"/>
          <w:u w:color="1F497D"/>
          <w:lang w:val="en-GB"/>
        </w:rPr>
        <w:t xml:space="preserve"> selected heavy metals (As, Cd, Cr, Cu, Ni, </w:t>
      </w:r>
      <w:proofErr w:type="spellStart"/>
      <w:r w:rsidRPr="008861F5">
        <w:rPr>
          <w:color w:val="000000" w:themeColor="text1"/>
          <w:u w:color="1F497D"/>
          <w:lang w:val="en-GB"/>
        </w:rPr>
        <w:t>Pb</w:t>
      </w:r>
      <w:proofErr w:type="spellEnd"/>
      <w:r w:rsidRPr="008861F5">
        <w:rPr>
          <w:color w:val="000000" w:themeColor="text1"/>
          <w:u w:color="1F497D"/>
          <w:lang w:val="en-GB"/>
        </w:rPr>
        <w:t>, Sb and Zn)</w:t>
      </w:r>
      <w:r>
        <w:rPr>
          <w:color w:val="000000" w:themeColor="text1"/>
          <w:u w:color="1F497D"/>
          <w:lang w:val="en-GB"/>
        </w:rPr>
        <w:t xml:space="preserve"> and loss on ignition (LOI) complete the solid chemical analysis</w:t>
      </w:r>
      <w:r w:rsidRPr="008861F5">
        <w:rPr>
          <w:color w:val="000000" w:themeColor="text1"/>
          <w:u w:color="1F497D"/>
          <w:lang w:val="en-GB"/>
        </w:rPr>
        <w:t>.</w:t>
      </w:r>
      <w:r w:rsidRPr="002A6D26">
        <w:rPr>
          <w:color w:val="000000" w:themeColor="text1"/>
          <w:u w:color="1F497D"/>
          <w:lang w:val="en-GB"/>
        </w:rPr>
        <w:t xml:space="preserve"> </w:t>
      </w:r>
      <w:r>
        <w:rPr>
          <w:color w:val="000000" w:themeColor="text1"/>
          <w:u w:color="1F497D"/>
          <w:lang w:val="en-GB"/>
        </w:rPr>
        <w:t>In addition, particulate ferrous (Fe) and non-ferrous (NF) metals and unburnt material</w:t>
      </w:r>
      <w:r w:rsidRPr="008861F5">
        <w:rPr>
          <w:color w:val="000000" w:themeColor="text1"/>
          <w:u w:color="1F497D"/>
          <w:lang w:val="en-GB"/>
        </w:rPr>
        <w:t xml:space="preserve"> </w:t>
      </w:r>
      <w:r>
        <w:rPr>
          <w:color w:val="000000" w:themeColor="text1"/>
          <w:u w:color="1F497D"/>
          <w:lang w:val="en-GB"/>
        </w:rPr>
        <w:t>were determined manually. B</w:t>
      </w:r>
      <w:r w:rsidRPr="008861F5">
        <w:rPr>
          <w:color w:val="000000" w:themeColor="text1"/>
          <w:u w:color="1F497D"/>
          <w:lang w:val="en-GB"/>
        </w:rPr>
        <w:t>atch eluate test</w:t>
      </w:r>
      <w:r>
        <w:rPr>
          <w:color w:val="000000" w:themeColor="text1"/>
          <w:u w:color="1F497D"/>
          <w:lang w:val="en-GB"/>
        </w:rPr>
        <w:t>s</w:t>
      </w:r>
      <w:r w:rsidRPr="008861F5">
        <w:rPr>
          <w:color w:val="000000" w:themeColor="text1"/>
          <w:u w:color="1F497D"/>
          <w:lang w:val="en-GB"/>
        </w:rPr>
        <w:t xml:space="preserve"> according to Swiss Waste Legislation </w:t>
      </w:r>
      <w:r>
        <w:rPr>
          <w:noProof/>
          <w:color w:val="000000" w:themeColor="text1"/>
          <w:u w:color="1F497D"/>
          <w:lang w:val="en-GB"/>
        </w:rPr>
        <w:t>[3]</w:t>
      </w:r>
      <w:r>
        <w:rPr>
          <w:color w:val="000000" w:themeColor="text1"/>
          <w:u w:color="1F497D"/>
          <w:lang w:val="en-GB"/>
        </w:rPr>
        <w:t xml:space="preserve"> </w:t>
      </w:r>
      <w:r w:rsidRPr="008861F5">
        <w:rPr>
          <w:color w:val="000000" w:themeColor="text1"/>
          <w:u w:color="1F497D"/>
          <w:lang w:val="en-GB"/>
        </w:rPr>
        <w:t xml:space="preserve">were performed and analysed for </w:t>
      </w:r>
      <w:r>
        <w:rPr>
          <w:color w:val="000000" w:themeColor="text1"/>
          <w:u w:color="1F497D"/>
          <w:lang w:val="en-GB"/>
        </w:rPr>
        <w:t>dissolved organic carbon (</w:t>
      </w:r>
      <w:r w:rsidRPr="008861F5">
        <w:rPr>
          <w:color w:val="000000" w:themeColor="text1"/>
          <w:u w:color="1F497D"/>
          <w:lang w:val="en-GB"/>
        </w:rPr>
        <w:t>DOC</w:t>
      </w:r>
      <w:r>
        <w:rPr>
          <w:color w:val="000000" w:themeColor="text1"/>
          <w:u w:color="1F497D"/>
          <w:lang w:val="en-GB"/>
        </w:rPr>
        <w:t>)</w:t>
      </w:r>
      <w:r w:rsidRPr="008861F5">
        <w:rPr>
          <w:color w:val="000000" w:themeColor="text1"/>
          <w:u w:color="1F497D"/>
          <w:lang w:val="en-GB"/>
        </w:rPr>
        <w:t xml:space="preserve">, </w:t>
      </w:r>
      <w:r w:rsidRPr="006439EA">
        <w:rPr>
          <w:color w:val="000000" w:themeColor="text1"/>
          <w:u w:color="1F497D"/>
          <w:lang w:val="en-GB"/>
        </w:rPr>
        <w:t>ammonium (NH</w:t>
      </w:r>
      <w:r w:rsidRPr="003E0990">
        <w:rPr>
          <w:color w:val="000000" w:themeColor="text1"/>
          <w:u w:color="1F497D"/>
          <w:vertAlign w:val="subscript"/>
          <w:lang w:val="en-GB"/>
        </w:rPr>
        <w:t>4</w:t>
      </w:r>
      <w:r w:rsidRPr="003E0990">
        <w:rPr>
          <w:color w:val="000000" w:themeColor="text1"/>
          <w:u w:color="1F497D"/>
          <w:vertAlign w:val="superscript"/>
          <w:lang w:val="en-GB"/>
        </w:rPr>
        <w:t>+</w:t>
      </w:r>
      <w:r w:rsidRPr="006439EA">
        <w:rPr>
          <w:color w:val="000000" w:themeColor="text1"/>
          <w:u w:color="1F497D"/>
          <w:lang w:val="en-GB"/>
        </w:rPr>
        <w:t>), nitrite (NO</w:t>
      </w:r>
      <w:r w:rsidRPr="003E0990">
        <w:rPr>
          <w:color w:val="000000" w:themeColor="text1"/>
          <w:u w:color="1F497D"/>
          <w:vertAlign w:val="subscript"/>
          <w:lang w:val="en-GB"/>
        </w:rPr>
        <w:t>2</w:t>
      </w:r>
      <w:r w:rsidRPr="003E0990">
        <w:rPr>
          <w:color w:val="000000" w:themeColor="text1"/>
          <w:u w:color="1F497D"/>
          <w:vertAlign w:val="superscript"/>
          <w:lang w:val="en-GB"/>
        </w:rPr>
        <w:t>-</w:t>
      </w:r>
      <w:r w:rsidRPr="006439EA">
        <w:rPr>
          <w:color w:val="000000" w:themeColor="text1"/>
          <w:u w:color="1F497D"/>
          <w:lang w:val="en-GB"/>
        </w:rPr>
        <w:t>), fluor</w:t>
      </w:r>
      <w:r w:rsidRPr="002A6D26">
        <w:rPr>
          <w:color w:val="000000" w:themeColor="text1"/>
          <w:u w:color="1F497D"/>
          <w:lang w:val="en-GB"/>
        </w:rPr>
        <w:t>ide (F</w:t>
      </w:r>
      <w:r w:rsidRPr="002A6D26">
        <w:rPr>
          <w:color w:val="000000" w:themeColor="text1"/>
          <w:u w:color="1F497D"/>
          <w:vertAlign w:val="superscript"/>
          <w:lang w:val="en-GB"/>
        </w:rPr>
        <w:t>-</w:t>
      </w:r>
      <w:r w:rsidRPr="002A6D26">
        <w:rPr>
          <w:color w:val="000000" w:themeColor="text1"/>
          <w:u w:color="1F497D"/>
          <w:lang w:val="en-GB"/>
        </w:rPr>
        <w:t>), sulphite (SO</w:t>
      </w:r>
      <w:r w:rsidRPr="002A6D26">
        <w:rPr>
          <w:color w:val="000000" w:themeColor="text1"/>
          <w:u w:color="1F497D"/>
          <w:vertAlign w:val="subscript"/>
          <w:lang w:val="en-GB"/>
        </w:rPr>
        <w:t>3</w:t>
      </w:r>
      <w:r w:rsidRPr="002A6D26">
        <w:rPr>
          <w:color w:val="000000" w:themeColor="text1"/>
          <w:u w:color="1F497D"/>
          <w:vertAlign w:val="superscript"/>
          <w:lang w:val="en-GB"/>
        </w:rPr>
        <w:t>2-</w:t>
      </w:r>
      <w:r w:rsidRPr="002A6D26">
        <w:rPr>
          <w:color w:val="000000" w:themeColor="text1"/>
          <w:u w:color="1F497D"/>
          <w:lang w:val="en-GB"/>
        </w:rPr>
        <w:t>), sulphide (S</w:t>
      </w:r>
      <w:r w:rsidRPr="002A6D26">
        <w:rPr>
          <w:color w:val="000000" w:themeColor="text1"/>
          <w:u w:color="1F497D"/>
          <w:vertAlign w:val="subscript"/>
          <w:lang w:val="en-GB"/>
        </w:rPr>
        <w:t>2</w:t>
      </w:r>
      <w:r w:rsidRPr="002A6D26">
        <w:rPr>
          <w:color w:val="000000" w:themeColor="text1"/>
          <w:u w:color="1F497D"/>
          <w:vertAlign w:val="superscript"/>
          <w:lang w:val="en-GB"/>
        </w:rPr>
        <w:t>-</w:t>
      </w:r>
      <w:r w:rsidRPr="002A6D26">
        <w:rPr>
          <w:color w:val="000000" w:themeColor="text1"/>
          <w:u w:color="1F497D"/>
          <w:lang w:val="en-GB"/>
        </w:rPr>
        <w:t>), chromate Cr(IV) and the heavy metals Cu (</w:t>
      </w:r>
      <w:proofErr w:type="spellStart"/>
      <w:r w:rsidRPr="002A6D26">
        <w:rPr>
          <w:color w:val="000000" w:themeColor="text1"/>
          <w:u w:color="1F497D"/>
          <w:lang w:val="en-GB"/>
        </w:rPr>
        <w:t>aq</w:t>
      </w:r>
      <w:proofErr w:type="spellEnd"/>
      <w:r w:rsidRPr="002A6D26">
        <w:rPr>
          <w:color w:val="000000" w:themeColor="text1"/>
          <w:u w:color="1F497D"/>
          <w:lang w:val="en-GB"/>
        </w:rPr>
        <w:t>) and Zn (</w:t>
      </w:r>
      <w:proofErr w:type="spellStart"/>
      <w:r w:rsidRPr="002A6D26">
        <w:rPr>
          <w:color w:val="000000" w:themeColor="text1"/>
          <w:u w:color="1F497D"/>
          <w:lang w:val="en-GB"/>
        </w:rPr>
        <w:t>aq</w:t>
      </w:r>
      <w:proofErr w:type="spellEnd"/>
      <w:r w:rsidRPr="002A6D26">
        <w:rPr>
          <w:color w:val="000000" w:themeColor="text1"/>
          <w:u w:color="1F497D"/>
          <w:lang w:val="en-GB"/>
        </w:rPr>
        <w:t>) and Cr(IV). In addition, data on the biochemical oxygen demand (BOD) and the physical parameters pH and electrical conductivity compl</w:t>
      </w:r>
      <w:r>
        <w:rPr>
          <w:color w:val="000000" w:themeColor="text1"/>
          <w:u w:color="1F497D"/>
          <w:lang w:val="en-GB"/>
        </w:rPr>
        <w:t>ete the eluate analysis.</w:t>
      </w:r>
    </w:p>
    <w:p w:rsidR="003E762A" w:rsidRPr="00870F26" w:rsidRDefault="003E762A" w:rsidP="003A1BA4">
      <w:pPr>
        <w:pStyle w:val="Body"/>
        <w:spacing w:after="0"/>
        <w:rPr>
          <w:color w:val="000000" w:themeColor="text1"/>
          <w:u w:color="1F497D"/>
          <w:lang w:val="en-GB"/>
        </w:rPr>
      </w:pPr>
      <w:r w:rsidRPr="003A1BA4">
        <w:rPr>
          <w:b/>
          <w:bCs/>
          <w:color w:val="000000" w:themeColor="text1"/>
          <w:sz w:val="24"/>
          <w:szCs w:val="24"/>
          <w:lang w:val="en-GB"/>
        </w:rPr>
        <w:t>Keywords</w:t>
      </w:r>
    </w:p>
    <w:p w:rsidR="003E762A" w:rsidRDefault="003E762A" w:rsidP="003A1BA4">
      <w:pPr>
        <w:pStyle w:val="Body"/>
        <w:jc w:val="both"/>
        <w:rPr>
          <w:color w:val="000000" w:themeColor="text1"/>
          <w:u w:color="1F497D"/>
          <w:lang w:val="en-GB"/>
        </w:rPr>
      </w:pPr>
      <w:r w:rsidRPr="00870F26">
        <w:rPr>
          <w:color w:val="000000" w:themeColor="text1"/>
          <w:u w:color="1F497D"/>
          <w:lang w:val="en-GB"/>
        </w:rPr>
        <w:t xml:space="preserve">Municipal solid waste incineration, bottom ash, monitoring, chemical analysis, </w:t>
      </w:r>
      <w:proofErr w:type="gramStart"/>
      <w:r w:rsidRPr="00870F26">
        <w:rPr>
          <w:color w:val="000000" w:themeColor="text1"/>
          <w:u w:color="1F497D"/>
          <w:lang w:val="en-GB"/>
        </w:rPr>
        <w:t>batch leaching</w:t>
      </w:r>
      <w:proofErr w:type="gramEnd"/>
      <w:r w:rsidRPr="00870F26">
        <w:rPr>
          <w:color w:val="000000" w:themeColor="text1"/>
          <w:u w:color="1F497D"/>
          <w:lang w:val="en-GB"/>
        </w:rPr>
        <w:t xml:space="preserve"> test</w:t>
      </w:r>
    </w:p>
    <w:p w:rsidR="003E762A" w:rsidRDefault="003E762A" w:rsidP="00B37B08">
      <w:pPr>
        <w:pStyle w:val="Body"/>
        <w:jc w:val="both"/>
        <w:rPr>
          <w:color w:val="000000" w:themeColor="text1"/>
          <w:u w:color="1F497D"/>
          <w:lang w:val="en-GB"/>
        </w:rPr>
      </w:pPr>
      <w:r>
        <w:rPr>
          <w:color w:val="000000" w:themeColor="text1"/>
          <w:u w:color="1F497D"/>
          <w:lang w:val="en-GB"/>
        </w:rPr>
        <w:br w:type="page"/>
      </w:r>
    </w:p>
    <w:p w:rsidR="003E762A" w:rsidRPr="0009012D" w:rsidRDefault="003E762A">
      <w:pPr>
        <w:pStyle w:val="Body"/>
        <w:spacing w:after="0"/>
        <w:rPr>
          <w:b/>
          <w:bCs/>
          <w:sz w:val="24"/>
          <w:szCs w:val="24"/>
          <w:lang w:val="en-GB"/>
        </w:rPr>
      </w:pPr>
      <w:r w:rsidRPr="0009012D">
        <w:rPr>
          <w:b/>
          <w:bCs/>
          <w:sz w:val="24"/>
          <w:szCs w:val="24"/>
          <w:lang w:val="en-GB"/>
        </w:rPr>
        <w:lastRenderedPageBreak/>
        <w:t>Specifications Table</w:t>
      </w:r>
    </w:p>
    <w:p w:rsidR="003E762A" w:rsidRPr="00870F26" w:rsidRDefault="003E762A">
      <w:pPr>
        <w:pStyle w:val="Body"/>
        <w:spacing w:after="0"/>
        <w:rPr>
          <w:iCs/>
          <w:sz w:val="24"/>
          <w:szCs w:val="24"/>
          <w:lang w:val="en-GB"/>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77"/>
        <w:gridCol w:w="6773"/>
      </w:tblGrid>
      <w:tr w:rsidR="003E762A" w:rsidRPr="0009012D" w:rsidTr="008861F5">
        <w:trPr>
          <w:trHeight w:val="488"/>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8861F5" w:rsidRDefault="003E762A">
            <w:pPr>
              <w:pStyle w:val="Body"/>
              <w:tabs>
                <w:tab w:val="left" w:pos="1290"/>
              </w:tabs>
              <w:rPr>
                <w:color w:val="000000" w:themeColor="text1"/>
                <w:lang w:val="en-GB"/>
              </w:rPr>
            </w:pPr>
            <w:r w:rsidRPr="008861F5">
              <w:rPr>
                <w:b/>
                <w:bCs/>
                <w:color w:val="000000" w:themeColor="text1"/>
                <w:lang w:val="en-GB"/>
              </w:rPr>
              <w:t>Subject</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8861F5" w:rsidRDefault="003E762A">
            <w:pPr>
              <w:pStyle w:val="Body"/>
              <w:spacing w:after="0" w:line="240" w:lineRule="auto"/>
              <w:rPr>
                <w:color w:val="000000" w:themeColor="text1"/>
                <w:lang w:val="en-GB"/>
              </w:rPr>
            </w:pPr>
            <w:r w:rsidRPr="008861F5">
              <w:rPr>
                <w:color w:val="000000" w:themeColor="text1"/>
                <w:u w:color="1F497D"/>
                <w:lang w:val="en-GB"/>
              </w:rPr>
              <w:t>Waste Management and Disposal</w:t>
            </w:r>
          </w:p>
        </w:tc>
      </w:tr>
      <w:tr w:rsidR="003E762A" w:rsidRPr="0009012D">
        <w:trPr>
          <w:trHeight w:val="490"/>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8861F5" w:rsidRDefault="003E762A">
            <w:pPr>
              <w:pStyle w:val="Body"/>
              <w:tabs>
                <w:tab w:val="left" w:pos="1290"/>
              </w:tabs>
              <w:spacing w:after="0" w:line="240" w:lineRule="auto"/>
              <w:rPr>
                <w:color w:val="000000" w:themeColor="text1"/>
                <w:lang w:val="en-GB"/>
              </w:rPr>
            </w:pPr>
            <w:r w:rsidRPr="008861F5">
              <w:rPr>
                <w:b/>
                <w:bCs/>
                <w:color w:val="000000" w:themeColor="text1"/>
                <w:lang w:val="en-GB"/>
              </w:rPr>
              <w:t>Specific subject area</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8861F5" w:rsidRDefault="003E762A" w:rsidP="00E15731">
            <w:pPr>
              <w:pStyle w:val="Body"/>
              <w:spacing w:after="0" w:line="240" w:lineRule="auto"/>
              <w:rPr>
                <w:color w:val="000000" w:themeColor="text1"/>
                <w:lang w:val="en-GB"/>
              </w:rPr>
            </w:pPr>
            <w:r w:rsidRPr="008861F5">
              <w:rPr>
                <w:color w:val="000000" w:themeColor="text1"/>
                <w:u w:color="1F497D"/>
                <w:lang w:val="en-GB"/>
              </w:rPr>
              <w:t>MSWI bottom ash, representative sampling, chemical analysis, batch eluate tests</w:t>
            </w:r>
          </w:p>
        </w:tc>
      </w:tr>
      <w:tr w:rsidR="003E762A" w:rsidRPr="0009012D" w:rsidTr="008861F5">
        <w:trPr>
          <w:trHeight w:val="488"/>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8861F5" w:rsidRDefault="003E762A">
            <w:pPr>
              <w:pStyle w:val="Body"/>
              <w:tabs>
                <w:tab w:val="left" w:pos="1290"/>
              </w:tabs>
              <w:spacing w:after="0" w:line="240" w:lineRule="auto"/>
              <w:rPr>
                <w:color w:val="000000" w:themeColor="text1"/>
                <w:lang w:val="en-GB"/>
              </w:rPr>
            </w:pPr>
            <w:r w:rsidRPr="008861F5">
              <w:rPr>
                <w:b/>
                <w:bCs/>
                <w:color w:val="000000" w:themeColor="text1"/>
                <w:lang w:val="en-GB"/>
              </w:rPr>
              <w:t>Type of data</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8861F5" w:rsidRDefault="003E762A" w:rsidP="00FC7E74">
            <w:pPr>
              <w:pStyle w:val="Body"/>
              <w:spacing w:after="0" w:line="240" w:lineRule="auto"/>
              <w:rPr>
                <w:color w:val="000000" w:themeColor="text1"/>
                <w:lang w:val="en-GB"/>
              </w:rPr>
            </w:pPr>
            <w:r w:rsidRPr="008861F5">
              <w:rPr>
                <w:color w:val="000000" w:themeColor="text1"/>
                <w:u w:color="1F497D"/>
                <w:lang w:val="en-GB"/>
              </w:rPr>
              <w:t>Table</w:t>
            </w:r>
          </w:p>
        </w:tc>
      </w:tr>
      <w:tr w:rsidR="003E762A" w:rsidRPr="0009012D">
        <w:trPr>
          <w:trHeight w:val="970"/>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09012D" w:rsidRDefault="003E762A">
            <w:pPr>
              <w:pStyle w:val="Body"/>
              <w:spacing w:after="0" w:line="240" w:lineRule="auto"/>
              <w:rPr>
                <w:lang w:val="en-GB"/>
              </w:rPr>
            </w:pPr>
            <w:r w:rsidRPr="0009012D">
              <w:rPr>
                <w:b/>
                <w:bCs/>
                <w:lang w:val="en-GB"/>
              </w:rPr>
              <w:t>How data were acquired</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Default="003E762A" w:rsidP="00447F42">
            <w:pPr>
              <w:pStyle w:val="Body"/>
              <w:spacing w:after="0" w:line="240" w:lineRule="auto"/>
              <w:rPr>
                <w:color w:val="000000" w:themeColor="text1"/>
                <w:u w:color="1F497D"/>
                <w:lang w:val="en-GB"/>
              </w:rPr>
            </w:pPr>
            <w:r>
              <w:rPr>
                <w:color w:val="000000" w:themeColor="text1"/>
                <w:u w:color="1F497D"/>
                <w:lang w:val="en-GB"/>
              </w:rPr>
              <w:t>Solid chemical analysis:</w:t>
            </w:r>
          </w:p>
          <w:p w:rsidR="003E762A" w:rsidRPr="0049013A" w:rsidRDefault="003E762A" w:rsidP="00447F42">
            <w:pPr>
              <w:pStyle w:val="Body"/>
              <w:numPr>
                <w:ilvl w:val="0"/>
                <w:numId w:val="10"/>
              </w:numPr>
              <w:spacing w:after="0" w:line="240" w:lineRule="auto"/>
              <w:rPr>
                <w:color w:val="000000" w:themeColor="text1"/>
                <w:u w:color="1F497D"/>
                <w:lang w:val="en-GB"/>
              </w:rPr>
            </w:pPr>
            <w:r w:rsidRPr="006439EA">
              <w:rPr>
                <w:color w:val="000000" w:themeColor="text1"/>
                <w:u w:color="1F497D"/>
                <w:lang w:val="en-GB"/>
              </w:rPr>
              <w:t xml:space="preserve">Cr, Cu, Ni, P, </w:t>
            </w:r>
            <w:proofErr w:type="spellStart"/>
            <w:r w:rsidRPr="006439EA">
              <w:rPr>
                <w:color w:val="000000" w:themeColor="text1"/>
                <w:u w:color="1F497D"/>
                <w:lang w:val="en-GB"/>
              </w:rPr>
              <w:t>Pb</w:t>
            </w:r>
            <w:proofErr w:type="spellEnd"/>
            <w:r w:rsidRPr="006439EA">
              <w:rPr>
                <w:color w:val="000000" w:themeColor="text1"/>
                <w:u w:color="1F497D"/>
                <w:lang w:val="en-GB"/>
              </w:rPr>
              <w:t xml:space="preserve"> and Zn</w:t>
            </w:r>
            <w:r>
              <w:rPr>
                <w:color w:val="000000" w:themeColor="text1"/>
                <w:u w:color="1F497D"/>
                <w:lang w:val="en-GB"/>
              </w:rPr>
              <w:t xml:space="preserve"> </w:t>
            </w:r>
            <w:r w:rsidRPr="0049013A">
              <w:rPr>
                <w:color w:val="000000" w:themeColor="text1"/>
                <w:u w:color="1F497D"/>
                <w:lang w:val="en-GB"/>
              </w:rPr>
              <w:t xml:space="preserve">with ICP-OES (ISO 11885, 2007) </w:t>
            </w:r>
            <w:r w:rsidRPr="0049013A">
              <w:rPr>
                <w:noProof/>
                <w:color w:val="000000" w:themeColor="text1"/>
                <w:u w:color="1F497D"/>
                <w:lang w:val="en-GB"/>
              </w:rPr>
              <w:t>[4]</w:t>
            </w:r>
          </w:p>
          <w:p w:rsidR="003E762A" w:rsidRPr="0049013A" w:rsidRDefault="003E762A" w:rsidP="00447F42">
            <w:pPr>
              <w:pStyle w:val="Body"/>
              <w:numPr>
                <w:ilvl w:val="0"/>
                <w:numId w:val="10"/>
              </w:numPr>
              <w:spacing w:after="0" w:line="240" w:lineRule="auto"/>
              <w:rPr>
                <w:color w:val="000000" w:themeColor="text1"/>
                <w:u w:color="1F497D"/>
                <w:lang w:val="en-GB"/>
              </w:rPr>
            </w:pPr>
            <w:r w:rsidRPr="0049013A">
              <w:rPr>
                <w:color w:val="000000" w:themeColor="text1"/>
                <w:u w:color="1F497D"/>
                <w:lang w:val="en-GB"/>
              </w:rPr>
              <w:t>As, Cd and Sb with ICP-MS (</w:t>
            </w:r>
            <w:r>
              <w:rPr>
                <w:color w:val="000000" w:themeColor="text1"/>
                <w:u w:color="1F497D"/>
                <w:lang w:val="en-GB"/>
              </w:rPr>
              <w:t xml:space="preserve">EN </w:t>
            </w:r>
            <w:r w:rsidRPr="0049013A">
              <w:rPr>
                <w:color w:val="000000" w:themeColor="text1"/>
                <w:u w:color="1F497D"/>
                <w:lang w:val="en-GB"/>
              </w:rPr>
              <w:t>ISO 17294</w:t>
            </w:r>
            <w:r w:rsidR="00AB02E2">
              <w:rPr>
                <w:color w:val="000000" w:themeColor="text1"/>
                <w:u w:color="1F497D"/>
                <w:lang w:val="en-GB"/>
              </w:rPr>
              <w:t>-2</w:t>
            </w:r>
            <w:r w:rsidRPr="0049013A">
              <w:rPr>
                <w:color w:val="000000" w:themeColor="text1"/>
                <w:u w:color="1F497D"/>
                <w:lang w:val="en-GB"/>
              </w:rPr>
              <w:t xml:space="preserve">, 2016) </w:t>
            </w:r>
            <w:r>
              <w:rPr>
                <w:noProof/>
                <w:color w:val="000000" w:themeColor="text1"/>
                <w:u w:color="1F497D"/>
                <w:lang w:val="en-GB"/>
              </w:rPr>
              <w:t>[5]</w:t>
            </w:r>
          </w:p>
          <w:p w:rsidR="003E762A" w:rsidRPr="0049013A" w:rsidRDefault="003E762A" w:rsidP="00447F42">
            <w:pPr>
              <w:pStyle w:val="Body"/>
              <w:numPr>
                <w:ilvl w:val="0"/>
                <w:numId w:val="10"/>
              </w:numPr>
              <w:spacing w:after="0" w:line="240" w:lineRule="auto"/>
              <w:rPr>
                <w:color w:val="000000" w:themeColor="text1"/>
                <w:u w:color="1F497D"/>
                <w:lang w:val="en-GB"/>
              </w:rPr>
            </w:pPr>
            <w:r w:rsidRPr="0049013A">
              <w:rPr>
                <w:color w:val="000000" w:themeColor="text1"/>
                <w:u w:color="1F497D"/>
                <w:lang w:val="en-GB"/>
              </w:rPr>
              <w:t xml:space="preserve">TC, TOC, TIC, N and S with CHNS-analysis (EN 15936, 2012) </w:t>
            </w:r>
            <w:r>
              <w:rPr>
                <w:noProof/>
                <w:color w:val="000000" w:themeColor="text1"/>
                <w:u w:color="1F497D"/>
                <w:lang w:val="en-GB"/>
              </w:rPr>
              <w:t>[6]</w:t>
            </w:r>
          </w:p>
          <w:p w:rsidR="003E762A" w:rsidRPr="000F1AE2" w:rsidRDefault="003E762A" w:rsidP="00117FE0">
            <w:pPr>
              <w:pStyle w:val="Body"/>
              <w:numPr>
                <w:ilvl w:val="0"/>
                <w:numId w:val="10"/>
              </w:numPr>
              <w:spacing w:after="0" w:line="240" w:lineRule="auto"/>
              <w:rPr>
                <w:color w:val="000000" w:themeColor="text1"/>
                <w:u w:color="1F497D"/>
                <w:lang w:val="en-GB"/>
              </w:rPr>
            </w:pPr>
            <w:r w:rsidRPr="000F1AE2">
              <w:rPr>
                <w:color w:val="000000" w:themeColor="text1"/>
                <w:u w:color="1F497D"/>
                <w:lang w:val="en-GB"/>
              </w:rPr>
              <w:t xml:space="preserve">OC and EC with temperature-dependent combustion of carbon (DIN 19539, 2016) </w:t>
            </w:r>
            <w:r w:rsidRPr="000F1AE2">
              <w:rPr>
                <w:noProof/>
                <w:color w:val="000000" w:themeColor="text1"/>
                <w:u w:color="1F497D"/>
                <w:lang w:val="en-GB"/>
              </w:rPr>
              <w:t>[7]</w:t>
            </w:r>
          </w:p>
          <w:p w:rsidR="003E762A" w:rsidRPr="000F1AE2" w:rsidRDefault="003E762A" w:rsidP="00117FE0">
            <w:pPr>
              <w:pStyle w:val="Body"/>
              <w:numPr>
                <w:ilvl w:val="0"/>
                <w:numId w:val="10"/>
              </w:numPr>
              <w:spacing w:after="0" w:line="240" w:lineRule="auto"/>
              <w:rPr>
                <w:color w:val="000000" w:themeColor="text1"/>
                <w:u w:color="1F497D"/>
                <w:lang w:val="en-GB"/>
              </w:rPr>
            </w:pPr>
            <w:r w:rsidRPr="000F1AE2">
              <w:rPr>
                <w:color w:val="000000" w:themeColor="text1"/>
                <w:u w:color="1F497D"/>
                <w:lang w:val="en-GB"/>
              </w:rPr>
              <w:t>Loss on ignition (LOI) at 550°C for 2 h in muffle furnace</w:t>
            </w:r>
          </w:p>
          <w:p w:rsidR="003E762A" w:rsidRPr="000F1AE2" w:rsidRDefault="003E762A" w:rsidP="00117FE0">
            <w:pPr>
              <w:pStyle w:val="Body"/>
              <w:numPr>
                <w:ilvl w:val="0"/>
                <w:numId w:val="10"/>
              </w:numPr>
              <w:spacing w:after="0" w:line="240" w:lineRule="auto"/>
              <w:rPr>
                <w:color w:val="000000" w:themeColor="text1"/>
                <w:u w:color="1F497D"/>
                <w:lang w:val="en-US"/>
              </w:rPr>
            </w:pPr>
            <w:r w:rsidRPr="000F1AE2">
              <w:rPr>
                <w:color w:val="000000" w:themeColor="text1"/>
                <w:u w:color="1F497D"/>
                <w:lang w:val="en-US"/>
              </w:rPr>
              <w:t>Fe- and NE-metal content and unburnt material by manual magnetic and optical separation</w:t>
            </w:r>
          </w:p>
          <w:p w:rsidR="003E762A" w:rsidRPr="000F1AE2" w:rsidRDefault="003E762A" w:rsidP="00447F42">
            <w:pPr>
              <w:pStyle w:val="Body"/>
              <w:spacing w:after="0" w:line="240" w:lineRule="auto"/>
              <w:rPr>
                <w:color w:val="000000" w:themeColor="text1"/>
                <w:u w:color="1F497D"/>
                <w:lang w:val="en-US"/>
              </w:rPr>
            </w:pPr>
          </w:p>
          <w:p w:rsidR="003E762A" w:rsidRPr="000F1AE2" w:rsidRDefault="003E762A" w:rsidP="00447F42">
            <w:pPr>
              <w:pStyle w:val="Body"/>
              <w:spacing w:after="0" w:line="240" w:lineRule="auto"/>
              <w:rPr>
                <w:color w:val="000000" w:themeColor="text1"/>
                <w:u w:color="1F497D"/>
                <w:lang w:val="en-GB"/>
              </w:rPr>
            </w:pPr>
            <w:r w:rsidRPr="000F1AE2">
              <w:rPr>
                <w:color w:val="000000" w:themeColor="text1"/>
                <w:u w:color="1F497D"/>
                <w:lang w:val="en-GB"/>
              </w:rPr>
              <w:t>Analysis of eluate behaviour:</w:t>
            </w:r>
          </w:p>
          <w:p w:rsidR="003E762A" w:rsidRPr="000F1AE2" w:rsidRDefault="003E762A" w:rsidP="00447F42">
            <w:pPr>
              <w:pStyle w:val="Body"/>
              <w:numPr>
                <w:ilvl w:val="0"/>
                <w:numId w:val="11"/>
              </w:numPr>
              <w:spacing w:after="0" w:line="240" w:lineRule="auto"/>
              <w:rPr>
                <w:color w:val="000000" w:themeColor="text1"/>
                <w:u w:color="1F497D"/>
                <w:lang w:val="en-GB"/>
              </w:rPr>
            </w:pPr>
            <w:r w:rsidRPr="000F1AE2">
              <w:rPr>
                <w:color w:val="000000" w:themeColor="text1"/>
                <w:u w:color="1F497D"/>
                <w:lang w:val="en-GB"/>
              </w:rPr>
              <w:t>Cr(IV), Cu (</w:t>
            </w:r>
            <w:proofErr w:type="spellStart"/>
            <w:r w:rsidRPr="000F1AE2">
              <w:rPr>
                <w:color w:val="000000" w:themeColor="text1"/>
                <w:u w:color="1F497D"/>
                <w:lang w:val="en-GB"/>
              </w:rPr>
              <w:t>aq</w:t>
            </w:r>
            <w:proofErr w:type="spellEnd"/>
            <w:r w:rsidRPr="000F1AE2">
              <w:rPr>
                <w:color w:val="000000" w:themeColor="text1"/>
                <w:u w:color="1F497D"/>
                <w:lang w:val="en-GB"/>
              </w:rPr>
              <w:t>) and Zn (</w:t>
            </w:r>
            <w:proofErr w:type="spellStart"/>
            <w:r w:rsidRPr="000F1AE2">
              <w:rPr>
                <w:color w:val="000000" w:themeColor="text1"/>
                <w:u w:color="1F497D"/>
                <w:lang w:val="en-GB"/>
              </w:rPr>
              <w:t>aq</w:t>
            </w:r>
            <w:proofErr w:type="spellEnd"/>
            <w:r w:rsidRPr="000F1AE2">
              <w:rPr>
                <w:color w:val="000000" w:themeColor="text1"/>
                <w:u w:color="1F497D"/>
                <w:lang w:val="en-GB"/>
              </w:rPr>
              <w:t xml:space="preserve">) with ICP-MS (EN ISO 17294-2, 2016) </w:t>
            </w:r>
            <w:r w:rsidRPr="000F1AE2">
              <w:rPr>
                <w:noProof/>
                <w:color w:val="000000" w:themeColor="text1"/>
                <w:u w:color="1F497D"/>
                <w:lang w:val="en-GB"/>
              </w:rPr>
              <w:t>[5]</w:t>
            </w:r>
          </w:p>
          <w:p w:rsidR="003E762A" w:rsidRPr="000F1AE2" w:rsidRDefault="003E762A" w:rsidP="00447F42">
            <w:pPr>
              <w:pStyle w:val="Body"/>
              <w:numPr>
                <w:ilvl w:val="0"/>
                <w:numId w:val="11"/>
              </w:numPr>
              <w:spacing w:after="0" w:line="240" w:lineRule="auto"/>
              <w:rPr>
                <w:color w:val="000000" w:themeColor="text1"/>
                <w:u w:color="1F497D"/>
                <w:lang w:val="en-GB"/>
              </w:rPr>
            </w:pPr>
            <w:r w:rsidRPr="000F1AE2">
              <w:rPr>
                <w:color w:val="000000" w:themeColor="text1"/>
                <w:u w:color="1F497D"/>
                <w:lang w:val="en-GB"/>
              </w:rPr>
              <w:t xml:space="preserve">DOC with thermal oxidation (EN 1484, 1997) </w:t>
            </w:r>
            <w:r w:rsidRPr="000F1AE2">
              <w:rPr>
                <w:noProof/>
                <w:color w:val="000000" w:themeColor="text1"/>
                <w:u w:color="1F497D"/>
                <w:lang w:val="en-GB"/>
              </w:rPr>
              <w:t>[8]</w:t>
            </w:r>
          </w:p>
          <w:p w:rsidR="003E762A" w:rsidRPr="000F1AE2" w:rsidRDefault="003E762A" w:rsidP="00447F42">
            <w:pPr>
              <w:pStyle w:val="Body"/>
              <w:numPr>
                <w:ilvl w:val="0"/>
                <w:numId w:val="11"/>
              </w:numPr>
              <w:spacing w:after="0" w:line="240" w:lineRule="auto"/>
              <w:rPr>
                <w:color w:val="000000" w:themeColor="text1"/>
                <w:u w:color="1F497D"/>
                <w:lang w:val="en-GB"/>
              </w:rPr>
            </w:pPr>
            <w:r w:rsidRPr="000F1AE2">
              <w:rPr>
                <w:color w:val="000000" w:themeColor="text1"/>
                <w:u w:color="1F497D"/>
                <w:lang w:val="en-GB"/>
              </w:rPr>
              <w:t>NH</w:t>
            </w:r>
            <w:r w:rsidRPr="000F1AE2">
              <w:rPr>
                <w:color w:val="000000" w:themeColor="text1"/>
                <w:u w:color="1F497D"/>
                <w:vertAlign w:val="subscript"/>
                <w:lang w:val="en-GB"/>
              </w:rPr>
              <w:t>4</w:t>
            </w:r>
            <w:r w:rsidRPr="000F1AE2">
              <w:rPr>
                <w:color w:val="000000" w:themeColor="text1"/>
                <w:u w:color="1F497D"/>
                <w:vertAlign w:val="superscript"/>
                <w:lang w:val="en-GB"/>
              </w:rPr>
              <w:t>+</w:t>
            </w:r>
            <w:r w:rsidRPr="000F1AE2">
              <w:rPr>
                <w:color w:val="000000" w:themeColor="text1"/>
                <w:u w:color="1F497D"/>
                <w:lang w:val="en-GB"/>
              </w:rPr>
              <w:t xml:space="preserve"> and NO</w:t>
            </w:r>
            <w:r w:rsidRPr="000F1AE2">
              <w:rPr>
                <w:color w:val="000000" w:themeColor="text1"/>
                <w:u w:color="1F497D"/>
                <w:vertAlign w:val="subscript"/>
                <w:lang w:val="en-GB"/>
              </w:rPr>
              <w:t>2</w:t>
            </w:r>
            <w:r w:rsidRPr="000F1AE2">
              <w:rPr>
                <w:color w:val="000000" w:themeColor="text1"/>
                <w:u w:color="1F497D"/>
                <w:vertAlign w:val="superscript"/>
                <w:lang w:val="en-GB"/>
              </w:rPr>
              <w:t>-</w:t>
            </w:r>
            <w:r w:rsidRPr="000F1AE2">
              <w:rPr>
                <w:color w:val="000000" w:themeColor="text1"/>
                <w:u w:color="1F497D"/>
                <w:lang w:val="en-GB"/>
              </w:rPr>
              <w:t xml:space="preserve"> with photometry (DIN 38406-5, 1983) </w:t>
            </w:r>
            <w:r w:rsidRPr="000F1AE2">
              <w:rPr>
                <w:noProof/>
                <w:color w:val="000000" w:themeColor="text1"/>
                <w:u w:color="1F497D"/>
                <w:lang w:val="en-GB"/>
              </w:rPr>
              <w:t>[9]</w:t>
            </w:r>
          </w:p>
          <w:p w:rsidR="003E762A" w:rsidRPr="000F1AE2" w:rsidRDefault="003E762A" w:rsidP="00447F42">
            <w:pPr>
              <w:pStyle w:val="Body"/>
              <w:numPr>
                <w:ilvl w:val="0"/>
                <w:numId w:val="11"/>
              </w:numPr>
              <w:spacing w:after="0" w:line="240" w:lineRule="auto"/>
              <w:rPr>
                <w:color w:val="000000" w:themeColor="text1"/>
                <w:u w:color="1F497D"/>
                <w:lang w:val="en-GB"/>
              </w:rPr>
            </w:pPr>
            <w:r w:rsidRPr="000F1AE2">
              <w:rPr>
                <w:color w:val="000000" w:themeColor="text1"/>
                <w:u w:color="1F497D"/>
                <w:lang w:val="en-GB"/>
              </w:rPr>
              <w:t>SO</w:t>
            </w:r>
            <w:r w:rsidRPr="000F1AE2">
              <w:rPr>
                <w:color w:val="000000" w:themeColor="text1"/>
                <w:u w:color="1F497D"/>
                <w:vertAlign w:val="subscript"/>
                <w:lang w:val="en-GB"/>
              </w:rPr>
              <w:t>3</w:t>
            </w:r>
            <w:r w:rsidRPr="000F1AE2">
              <w:rPr>
                <w:color w:val="000000" w:themeColor="text1"/>
                <w:u w:color="1F497D"/>
                <w:vertAlign w:val="superscript"/>
                <w:lang w:val="en-GB"/>
              </w:rPr>
              <w:t>2-</w:t>
            </w:r>
            <w:r w:rsidRPr="000F1AE2">
              <w:rPr>
                <w:color w:val="000000" w:themeColor="text1"/>
                <w:u w:color="1F497D"/>
                <w:lang w:val="en-GB"/>
              </w:rPr>
              <w:t xml:space="preserve"> and S</w:t>
            </w:r>
            <w:r w:rsidRPr="000F1AE2">
              <w:rPr>
                <w:color w:val="000000" w:themeColor="text1"/>
                <w:u w:color="1F497D"/>
                <w:vertAlign w:val="subscript"/>
                <w:lang w:val="en-GB"/>
              </w:rPr>
              <w:t>2</w:t>
            </w:r>
            <w:r w:rsidRPr="000F1AE2">
              <w:rPr>
                <w:color w:val="000000" w:themeColor="text1"/>
                <w:u w:color="1F497D"/>
                <w:vertAlign w:val="superscript"/>
                <w:lang w:val="en-GB"/>
              </w:rPr>
              <w:t>-</w:t>
            </w:r>
            <w:r w:rsidRPr="000F1AE2">
              <w:rPr>
                <w:color w:val="000000" w:themeColor="text1"/>
                <w:u w:color="1F497D"/>
                <w:lang w:val="en-GB"/>
              </w:rPr>
              <w:t xml:space="preserve"> with polarography (</w:t>
            </w:r>
            <w:proofErr w:type="spellStart"/>
            <w:r w:rsidRPr="000F1AE2">
              <w:rPr>
                <w:color w:val="000000" w:themeColor="text1"/>
                <w:u w:color="1F497D"/>
                <w:lang w:val="en-GB"/>
              </w:rPr>
              <w:t>Metrohm</w:t>
            </w:r>
            <w:proofErr w:type="spellEnd"/>
            <w:r w:rsidRPr="000F1AE2">
              <w:rPr>
                <w:color w:val="000000" w:themeColor="text1"/>
                <w:u w:color="1F497D"/>
                <w:lang w:val="en-GB"/>
              </w:rPr>
              <w:t xml:space="preserve"> Appl. 99/1)</w:t>
            </w:r>
          </w:p>
          <w:p w:rsidR="003E762A" w:rsidRPr="000F1AE2" w:rsidRDefault="003E762A" w:rsidP="00834086">
            <w:pPr>
              <w:pStyle w:val="Body"/>
              <w:numPr>
                <w:ilvl w:val="0"/>
                <w:numId w:val="11"/>
              </w:numPr>
              <w:spacing w:after="0" w:line="240" w:lineRule="auto"/>
              <w:rPr>
                <w:color w:val="000000" w:themeColor="text1"/>
                <w:u w:color="1F497D"/>
                <w:lang w:val="en-GB"/>
              </w:rPr>
            </w:pPr>
            <w:r w:rsidRPr="000F1AE2">
              <w:rPr>
                <w:color w:val="000000" w:themeColor="text1"/>
                <w:u w:color="1F497D"/>
                <w:lang w:val="en-GB"/>
              </w:rPr>
              <w:t>F</w:t>
            </w:r>
            <w:r w:rsidRPr="000F1AE2">
              <w:rPr>
                <w:color w:val="000000" w:themeColor="text1"/>
                <w:u w:color="1F497D"/>
                <w:vertAlign w:val="superscript"/>
                <w:lang w:val="en-GB"/>
              </w:rPr>
              <w:t>-</w:t>
            </w:r>
            <w:r w:rsidRPr="000F1AE2">
              <w:rPr>
                <w:color w:val="000000" w:themeColor="text1"/>
                <w:u w:color="1F497D"/>
                <w:lang w:val="en-GB"/>
              </w:rPr>
              <w:t xml:space="preserve"> with ion-sensitive electrode in water samples and digestions (DIN 38405-1, 1985 and ISO 10304-1, 2007) </w:t>
            </w:r>
            <w:r w:rsidRPr="000F1AE2">
              <w:rPr>
                <w:noProof/>
                <w:color w:val="000000" w:themeColor="text1"/>
                <w:u w:color="1F497D"/>
                <w:lang w:val="en-GB"/>
              </w:rPr>
              <w:t>[10, 11]</w:t>
            </w:r>
          </w:p>
          <w:p w:rsidR="003E762A" w:rsidRPr="000F1AE2" w:rsidRDefault="003E762A" w:rsidP="00834086">
            <w:pPr>
              <w:pStyle w:val="Body"/>
              <w:numPr>
                <w:ilvl w:val="0"/>
                <w:numId w:val="11"/>
              </w:numPr>
              <w:spacing w:after="0" w:line="240" w:lineRule="auto"/>
              <w:rPr>
                <w:color w:val="000000" w:themeColor="text1"/>
                <w:u w:color="1F497D"/>
                <w:lang w:val="en-GB"/>
              </w:rPr>
            </w:pPr>
            <w:r w:rsidRPr="000F1AE2">
              <w:rPr>
                <w:color w:val="000000" w:themeColor="text1"/>
                <w:u w:color="1F497D"/>
                <w:lang w:val="en-GB"/>
              </w:rPr>
              <w:t xml:space="preserve">BOD 5 days </w:t>
            </w:r>
            <w:proofErr w:type="spellStart"/>
            <w:r w:rsidRPr="000F1AE2">
              <w:rPr>
                <w:color w:val="000000" w:themeColor="text1"/>
                <w:u w:color="1F497D"/>
                <w:lang w:val="en-GB"/>
              </w:rPr>
              <w:t>respirometric</w:t>
            </w:r>
            <w:proofErr w:type="spellEnd"/>
            <w:r w:rsidRPr="000F1AE2">
              <w:rPr>
                <w:color w:val="000000" w:themeColor="text1"/>
                <w:u w:color="1F497D"/>
                <w:lang w:val="en-GB"/>
              </w:rPr>
              <w:t xml:space="preserve"> measurement (</w:t>
            </w:r>
            <w:proofErr w:type="spellStart"/>
            <w:r w:rsidRPr="000F1AE2">
              <w:rPr>
                <w:color w:val="000000" w:themeColor="text1"/>
                <w:u w:color="1F497D"/>
                <w:lang w:val="en-GB"/>
              </w:rPr>
              <w:t>Oxitop</w:t>
            </w:r>
            <w:proofErr w:type="spellEnd"/>
            <w:r w:rsidRPr="000F1AE2">
              <w:rPr>
                <w:color w:val="000000" w:themeColor="text1"/>
                <w:u w:color="1F497D"/>
                <w:lang w:val="en-GB"/>
              </w:rPr>
              <w:t>-system)</w:t>
            </w:r>
          </w:p>
          <w:p w:rsidR="003E762A" w:rsidRPr="000F1AE2" w:rsidRDefault="003E762A" w:rsidP="003A1BA4">
            <w:pPr>
              <w:pStyle w:val="Body"/>
              <w:numPr>
                <w:ilvl w:val="0"/>
                <w:numId w:val="11"/>
              </w:numPr>
              <w:spacing w:after="0" w:line="240" w:lineRule="auto"/>
              <w:rPr>
                <w:color w:val="000000" w:themeColor="text1"/>
                <w:u w:color="1F497D"/>
                <w:lang w:val="en-GB"/>
              </w:rPr>
            </w:pPr>
            <w:r w:rsidRPr="000F1AE2">
              <w:rPr>
                <w:color w:val="000000" w:themeColor="text1"/>
                <w:u w:color="1F497D"/>
                <w:lang w:val="en-GB"/>
              </w:rPr>
              <w:t xml:space="preserve">Electrical conductivity (El. Cond) </w:t>
            </w:r>
            <w:r>
              <w:rPr>
                <w:color w:val="000000" w:themeColor="text1"/>
                <w:u w:color="1F497D"/>
                <w:lang w:val="en-GB"/>
              </w:rPr>
              <w:t xml:space="preserve">with a </w:t>
            </w:r>
            <w:r w:rsidRPr="000F1AE2">
              <w:rPr>
                <w:color w:val="000000" w:themeColor="text1"/>
                <w:u w:color="1F497D"/>
                <w:lang w:val="en-GB"/>
              </w:rPr>
              <w:t>5-ring conductivity measuring cell (c = 1.0 cm</w:t>
            </w:r>
            <w:r w:rsidRPr="000F1AE2">
              <w:rPr>
                <w:color w:val="000000" w:themeColor="text1"/>
                <w:u w:color="1F497D"/>
                <w:vertAlign w:val="superscript"/>
                <w:lang w:val="en-GB"/>
              </w:rPr>
              <w:t>-1</w:t>
            </w:r>
            <w:r w:rsidRPr="000F1AE2">
              <w:rPr>
                <w:color w:val="000000" w:themeColor="text1"/>
                <w:u w:color="1F497D"/>
                <w:lang w:val="en-GB"/>
              </w:rPr>
              <w:t>)</w:t>
            </w:r>
          </w:p>
          <w:p w:rsidR="003E762A" w:rsidRPr="00834086" w:rsidRDefault="003E762A" w:rsidP="00FC3D01">
            <w:pPr>
              <w:pStyle w:val="Body"/>
              <w:numPr>
                <w:ilvl w:val="0"/>
                <w:numId w:val="11"/>
              </w:numPr>
              <w:spacing w:after="0" w:line="240" w:lineRule="auto"/>
              <w:rPr>
                <w:color w:val="000000" w:themeColor="text1"/>
                <w:u w:color="1F497D"/>
                <w:lang w:val="en-GB"/>
              </w:rPr>
            </w:pPr>
            <w:r w:rsidRPr="000F1AE2">
              <w:rPr>
                <w:color w:val="000000" w:themeColor="text1"/>
                <w:u w:color="1F497D"/>
                <w:lang w:val="en-GB"/>
              </w:rPr>
              <w:t>pH</w:t>
            </w:r>
            <w:r>
              <w:rPr>
                <w:color w:val="000000" w:themeColor="text1"/>
                <w:u w:color="1F497D"/>
                <w:lang w:val="en-GB"/>
              </w:rPr>
              <w:t xml:space="preserve"> with an </w:t>
            </w:r>
            <w:proofErr w:type="spellStart"/>
            <w:r>
              <w:rPr>
                <w:color w:val="000000" w:themeColor="text1"/>
                <w:u w:color="1F497D"/>
                <w:lang w:val="en-GB"/>
              </w:rPr>
              <w:t>Aquatorde</w:t>
            </w:r>
            <w:proofErr w:type="spellEnd"/>
            <w:r>
              <w:rPr>
                <w:color w:val="000000" w:themeColor="text1"/>
                <w:u w:color="1F497D"/>
                <w:lang w:val="en-GB"/>
              </w:rPr>
              <w:t xml:space="preserve"> plus</w:t>
            </w:r>
          </w:p>
        </w:tc>
      </w:tr>
      <w:tr w:rsidR="003E762A" w:rsidRPr="0009012D" w:rsidTr="00FF5DFD">
        <w:trPr>
          <w:trHeight w:val="488"/>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09012D" w:rsidRDefault="003E762A">
            <w:pPr>
              <w:pStyle w:val="Body"/>
              <w:spacing w:after="0" w:line="240" w:lineRule="auto"/>
              <w:rPr>
                <w:lang w:val="en-GB"/>
              </w:rPr>
            </w:pPr>
            <w:r w:rsidRPr="0009012D">
              <w:rPr>
                <w:b/>
                <w:bCs/>
                <w:lang w:val="en-GB"/>
              </w:rPr>
              <w:t>Data format</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09012D" w:rsidRDefault="003E762A">
            <w:pPr>
              <w:pStyle w:val="Body"/>
              <w:spacing w:after="0" w:line="240" w:lineRule="auto"/>
              <w:rPr>
                <w:lang w:val="en-GB"/>
              </w:rPr>
            </w:pPr>
            <w:r w:rsidRPr="002F74F9">
              <w:rPr>
                <w:lang w:val="en-GB"/>
              </w:rPr>
              <w:t>Raw</w:t>
            </w:r>
          </w:p>
        </w:tc>
      </w:tr>
      <w:tr w:rsidR="003E762A" w:rsidRPr="0009012D">
        <w:trPr>
          <w:trHeight w:val="730"/>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09012D" w:rsidRDefault="003E762A">
            <w:pPr>
              <w:pStyle w:val="Body"/>
              <w:tabs>
                <w:tab w:val="left" w:pos="1290"/>
              </w:tabs>
              <w:spacing w:after="0" w:line="240" w:lineRule="auto"/>
              <w:rPr>
                <w:lang w:val="en-GB"/>
              </w:rPr>
            </w:pPr>
            <w:r w:rsidRPr="0009012D">
              <w:rPr>
                <w:b/>
                <w:bCs/>
                <w:lang w:val="en-GB"/>
              </w:rPr>
              <w:t>Parameters for data collection</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834086" w:rsidRDefault="003E762A" w:rsidP="003A1BA4">
            <w:pPr>
              <w:pStyle w:val="Body"/>
              <w:spacing w:after="0" w:line="240" w:lineRule="auto"/>
              <w:rPr>
                <w:color w:val="000000" w:themeColor="text1"/>
                <w:u w:color="1F497D"/>
                <w:lang w:val="en-GB"/>
              </w:rPr>
            </w:pPr>
            <w:r w:rsidRPr="008861F5">
              <w:rPr>
                <w:color w:val="000000" w:themeColor="text1"/>
                <w:u w:color="1F497D"/>
                <w:lang w:val="en-GB"/>
              </w:rPr>
              <w:t xml:space="preserve">Bottom ash </w:t>
            </w:r>
            <w:proofErr w:type="gramStart"/>
            <w:r w:rsidRPr="008861F5">
              <w:rPr>
                <w:color w:val="000000" w:themeColor="text1"/>
                <w:u w:color="1F497D"/>
                <w:lang w:val="en-GB"/>
              </w:rPr>
              <w:t>was sampled</w:t>
            </w:r>
            <w:proofErr w:type="gramEnd"/>
            <w:r w:rsidRPr="008861F5">
              <w:rPr>
                <w:color w:val="000000" w:themeColor="text1"/>
                <w:u w:color="1F497D"/>
                <w:lang w:val="en-GB"/>
              </w:rPr>
              <w:t xml:space="preserve"> regularly for monthly periods in six MSWI plants. Subsequently the monthly</w:t>
            </w:r>
            <w:r>
              <w:rPr>
                <w:color w:val="000000" w:themeColor="text1"/>
                <w:u w:color="1F497D"/>
                <w:lang w:val="en-GB"/>
              </w:rPr>
              <w:t xml:space="preserve"> composite</w:t>
            </w:r>
            <w:r w:rsidRPr="008861F5">
              <w:rPr>
                <w:color w:val="000000" w:themeColor="text1"/>
                <w:u w:color="1F497D"/>
                <w:lang w:val="en-GB"/>
              </w:rPr>
              <w:t xml:space="preserve"> sample</w:t>
            </w:r>
            <w:r>
              <w:rPr>
                <w:color w:val="000000" w:themeColor="text1"/>
                <w:u w:color="1F497D"/>
                <w:lang w:val="en-GB"/>
              </w:rPr>
              <w:t>s</w:t>
            </w:r>
            <w:r w:rsidRPr="008861F5">
              <w:rPr>
                <w:color w:val="000000" w:themeColor="text1"/>
                <w:u w:color="1F497D"/>
                <w:lang w:val="en-GB"/>
              </w:rPr>
              <w:t xml:space="preserve"> were homogenised, and crushed in order to reduce the amount of material and to acquire the grain size needed for analysis.</w:t>
            </w:r>
          </w:p>
        </w:tc>
      </w:tr>
      <w:tr w:rsidR="003E762A" w:rsidRPr="0009012D">
        <w:trPr>
          <w:trHeight w:val="730"/>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09012D" w:rsidRDefault="003E762A">
            <w:pPr>
              <w:pStyle w:val="Body"/>
              <w:tabs>
                <w:tab w:val="left" w:pos="1290"/>
              </w:tabs>
              <w:spacing w:after="0" w:line="240" w:lineRule="auto"/>
              <w:rPr>
                <w:lang w:val="en-GB"/>
              </w:rPr>
            </w:pPr>
            <w:r w:rsidRPr="0009012D">
              <w:rPr>
                <w:b/>
                <w:bCs/>
                <w:lang w:val="en-GB"/>
              </w:rPr>
              <w:t>Description of data collection</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Default="003E762A">
            <w:pPr>
              <w:pStyle w:val="Body"/>
              <w:spacing w:after="0" w:line="240" w:lineRule="auto"/>
              <w:rPr>
                <w:color w:val="000000" w:themeColor="text1"/>
                <w:u w:color="1F497D"/>
                <w:lang w:val="en-GB"/>
              </w:rPr>
            </w:pPr>
            <w:r>
              <w:rPr>
                <w:color w:val="000000" w:themeColor="text1"/>
                <w:u w:color="1F497D"/>
                <w:lang w:val="en-GB"/>
              </w:rPr>
              <w:t xml:space="preserve">For solid chemical analysis, bottom ash was dried at 105°C, </w:t>
            </w:r>
            <w:r w:rsidRPr="00FC7E74">
              <w:rPr>
                <w:color w:val="auto"/>
                <w:u w:color="1F497D"/>
                <w:lang w:val="en-GB"/>
              </w:rPr>
              <w:t>crushed to &lt;1 mm</w:t>
            </w:r>
            <w:r>
              <w:rPr>
                <w:color w:val="auto"/>
                <w:u w:color="1F497D"/>
                <w:lang w:val="en-GB"/>
              </w:rPr>
              <w:t xml:space="preserve"> and milled to </w:t>
            </w:r>
            <w:r>
              <w:rPr>
                <w:color w:val="000000" w:themeColor="text1"/>
                <w:u w:color="1F497D"/>
                <w:lang w:val="en-GB"/>
              </w:rPr>
              <w:t>&lt;0.1 mm</w:t>
            </w:r>
            <w:r>
              <w:rPr>
                <w:color w:val="auto"/>
                <w:u w:color="1F497D"/>
                <w:lang w:val="en-GB"/>
              </w:rPr>
              <w:t>. T</w:t>
            </w:r>
            <w:r w:rsidRPr="008861F5">
              <w:rPr>
                <w:color w:val="000000" w:themeColor="text1"/>
                <w:u w:color="1F497D"/>
                <w:lang w:val="en-GB"/>
              </w:rPr>
              <w:t>otal dige</w:t>
            </w:r>
            <w:r w:rsidRPr="00246B47">
              <w:rPr>
                <w:color w:val="000000" w:themeColor="text1"/>
                <w:u w:color="1F497D"/>
                <w:lang w:val="en-GB"/>
              </w:rPr>
              <w:t xml:space="preserve">stion was performed for analysis with ICP-OES and MS. For CHNS-analysis, the material </w:t>
            </w:r>
            <w:r>
              <w:rPr>
                <w:color w:val="000000" w:themeColor="text1"/>
                <w:u w:color="1F497D"/>
                <w:lang w:val="en-GB"/>
              </w:rPr>
              <w:t>&lt;0.1 mm was combusted.</w:t>
            </w:r>
          </w:p>
          <w:p w:rsidR="003E762A" w:rsidRDefault="003E762A">
            <w:pPr>
              <w:pStyle w:val="Body"/>
              <w:spacing w:after="0" w:line="240" w:lineRule="auto"/>
              <w:rPr>
                <w:color w:val="000000" w:themeColor="text1"/>
                <w:u w:color="1F497D"/>
                <w:lang w:val="en-GB"/>
              </w:rPr>
            </w:pPr>
          </w:p>
          <w:p w:rsidR="003E762A" w:rsidRPr="00834086" w:rsidRDefault="003E762A">
            <w:pPr>
              <w:pStyle w:val="Body"/>
              <w:spacing w:after="0" w:line="240" w:lineRule="auto"/>
              <w:rPr>
                <w:color w:val="000000" w:themeColor="text1"/>
                <w:u w:color="1F497D"/>
                <w:lang w:val="en-GB"/>
              </w:rPr>
            </w:pPr>
            <w:r>
              <w:rPr>
                <w:color w:val="000000" w:themeColor="text1"/>
                <w:u w:color="1F497D"/>
                <w:lang w:val="en-GB"/>
              </w:rPr>
              <w:t>Batch elute tests were performed on bottom ash in its original condition, crushed to &lt;5 mm. The test consists of two parts,</w:t>
            </w:r>
            <w:r w:rsidRPr="006439EA">
              <w:rPr>
                <w:color w:val="000000" w:themeColor="text1"/>
                <w:u w:color="1F497D"/>
                <w:lang w:val="en-GB"/>
              </w:rPr>
              <w:t xml:space="preserve"> </w:t>
            </w:r>
            <w:r>
              <w:rPr>
                <w:color w:val="000000" w:themeColor="text1"/>
                <w:u w:color="1F497D"/>
                <w:lang w:val="en-GB"/>
              </w:rPr>
              <w:t xml:space="preserve">each </w:t>
            </w:r>
            <w:r w:rsidRPr="006439EA">
              <w:rPr>
                <w:color w:val="000000" w:themeColor="text1"/>
                <w:u w:color="1F497D"/>
                <w:lang w:val="en-GB"/>
              </w:rPr>
              <w:t xml:space="preserve">with a liquid to solid (L/S) ratio of 10 </w:t>
            </w:r>
            <w:r>
              <w:rPr>
                <w:color w:val="000000" w:themeColor="text1"/>
                <w:u w:color="1F497D"/>
                <w:lang w:val="en-GB"/>
              </w:rPr>
              <w:t>and a duration of</w:t>
            </w:r>
            <w:r w:rsidRPr="006439EA">
              <w:rPr>
                <w:color w:val="000000" w:themeColor="text1"/>
                <w:u w:color="1F497D"/>
                <w:lang w:val="en-GB"/>
              </w:rPr>
              <w:t xml:space="preserve"> 24 h</w:t>
            </w:r>
            <w:r>
              <w:rPr>
                <w:color w:val="000000" w:themeColor="text1"/>
                <w:u w:color="1F497D"/>
                <w:lang w:val="en-GB"/>
              </w:rPr>
              <w:t xml:space="preserve">. One part (Test 1) </w:t>
            </w:r>
            <w:proofErr w:type="gramStart"/>
            <w:r>
              <w:rPr>
                <w:color w:val="000000" w:themeColor="text1"/>
                <w:u w:color="1F497D"/>
                <w:lang w:val="en-GB"/>
              </w:rPr>
              <w:t>is performed</w:t>
            </w:r>
            <w:proofErr w:type="gramEnd"/>
            <w:r>
              <w:rPr>
                <w:color w:val="000000" w:themeColor="text1"/>
                <w:u w:color="1F497D"/>
                <w:lang w:val="en-GB"/>
              </w:rPr>
              <w:t xml:space="preserve"> with CO</w:t>
            </w:r>
            <w:r w:rsidRPr="007F2603">
              <w:rPr>
                <w:color w:val="000000" w:themeColor="text1"/>
                <w:u w:color="1F497D"/>
                <w:vertAlign w:val="subscript"/>
                <w:lang w:val="en-GB"/>
              </w:rPr>
              <w:t>2</w:t>
            </w:r>
            <w:r>
              <w:rPr>
                <w:color w:val="000000" w:themeColor="text1"/>
                <w:u w:color="1F497D"/>
                <w:lang w:val="en-GB"/>
              </w:rPr>
              <w:t xml:space="preserve">-saturated water for the analysis of heavy metals. The other part (Test 2) </w:t>
            </w:r>
            <w:proofErr w:type="gramStart"/>
            <w:r>
              <w:rPr>
                <w:color w:val="000000" w:themeColor="text1"/>
                <w:u w:color="1F497D"/>
                <w:lang w:val="en-GB"/>
              </w:rPr>
              <w:t>is performed</w:t>
            </w:r>
            <w:proofErr w:type="gramEnd"/>
            <w:r>
              <w:rPr>
                <w:color w:val="000000" w:themeColor="text1"/>
                <w:u w:color="1F497D"/>
                <w:lang w:val="en-GB"/>
              </w:rPr>
              <w:t xml:space="preserve"> with deionised water, for the analysis of all other constituents (incl. </w:t>
            </w:r>
            <w:proofErr w:type="spellStart"/>
            <w:r>
              <w:rPr>
                <w:color w:val="000000" w:themeColor="text1"/>
                <w:u w:color="1F497D"/>
                <w:lang w:val="en-GB"/>
              </w:rPr>
              <w:t>CrIV</w:t>
            </w:r>
            <w:proofErr w:type="spellEnd"/>
            <w:r>
              <w:rPr>
                <w:color w:val="000000" w:themeColor="text1"/>
                <w:u w:color="1F497D"/>
                <w:lang w:val="en-GB"/>
              </w:rPr>
              <w:t>).</w:t>
            </w:r>
          </w:p>
        </w:tc>
      </w:tr>
      <w:tr w:rsidR="003E762A" w:rsidRPr="0009012D" w:rsidTr="00FF5DFD">
        <w:trPr>
          <w:trHeight w:val="488"/>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09012D" w:rsidRDefault="003E762A">
            <w:pPr>
              <w:pStyle w:val="Body"/>
              <w:spacing w:after="0" w:line="240" w:lineRule="auto"/>
              <w:rPr>
                <w:lang w:val="en-GB"/>
              </w:rPr>
            </w:pPr>
            <w:r w:rsidRPr="0009012D">
              <w:rPr>
                <w:b/>
                <w:bCs/>
                <w:lang w:val="en-GB"/>
              </w:rPr>
              <w:lastRenderedPageBreak/>
              <w:t>Data source location</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870F26" w:rsidRDefault="003E762A" w:rsidP="002154C3">
            <w:pPr>
              <w:pStyle w:val="Body"/>
              <w:spacing w:after="0" w:line="240" w:lineRule="auto"/>
              <w:rPr>
                <w:color w:val="000000" w:themeColor="text1"/>
                <w:u w:color="1F497D"/>
                <w:lang w:val="en-GB"/>
              </w:rPr>
            </w:pPr>
            <w:r w:rsidRPr="00870F26">
              <w:rPr>
                <w:color w:val="000000" w:themeColor="text1"/>
                <w:u w:color="1F497D"/>
                <w:lang w:val="en-GB"/>
              </w:rPr>
              <w:t>MSWI Plants A-F, Canton of Zürich, Switzerland</w:t>
            </w:r>
          </w:p>
        </w:tc>
      </w:tr>
      <w:tr w:rsidR="003E762A" w:rsidRPr="0009012D" w:rsidTr="00FF5DFD">
        <w:trPr>
          <w:trHeight w:val="488"/>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09012D" w:rsidRDefault="003E762A">
            <w:pPr>
              <w:pStyle w:val="Body"/>
              <w:spacing w:after="0" w:line="240" w:lineRule="auto"/>
              <w:rPr>
                <w:lang w:val="en-GB"/>
              </w:rPr>
            </w:pPr>
            <w:r w:rsidRPr="0009012D">
              <w:rPr>
                <w:b/>
                <w:bCs/>
                <w:lang w:val="en-GB"/>
              </w:rPr>
              <w:t>Data accessibility</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870F26" w:rsidRDefault="003E762A" w:rsidP="00E15731">
            <w:pPr>
              <w:pStyle w:val="Body"/>
              <w:spacing w:after="0" w:line="240" w:lineRule="auto"/>
              <w:rPr>
                <w:color w:val="000000" w:themeColor="text1"/>
                <w:u w:color="1F497D"/>
                <w:lang w:val="en-GB"/>
              </w:rPr>
            </w:pPr>
            <w:r w:rsidRPr="00870F26">
              <w:rPr>
                <w:color w:val="000000" w:themeColor="text1"/>
                <w:u w:color="1F497D"/>
                <w:lang w:val="en-GB"/>
              </w:rPr>
              <w:t>Data are accessible with the article</w:t>
            </w:r>
          </w:p>
        </w:tc>
      </w:tr>
      <w:tr w:rsidR="003E762A" w:rsidRPr="0009012D" w:rsidTr="00FF5DFD">
        <w:trPr>
          <w:trHeight w:val="488"/>
        </w:trPr>
        <w:tc>
          <w:tcPr>
            <w:tcW w:w="25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09012D" w:rsidRDefault="003E762A">
            <w:pPr>
              <w:pStyle w:val="Body"/>
              <w:spacing w:after="0" w:line="240" w:lineRule="auto"/>
              <w:rPr>
                <w:lang w:val="en-GB"/>
              </w:rPr>
            </w:pPr>
            <w:r w:rsidRPr="0009012D">
              <w:rPr>
                <w:b/>
                <w:bCs/>
                <w:lang w:val="en-GB"/>
              </w:rPr>
              <w:t>Related research article</w:t>
            </w:r>
          </w:p>
        </w:tc>
        <w:tc>
          <w:tcPr>
            <w:tcW w:w="677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E762A" w:rsidRPr="00870F26" w:rsidRDefault="003E762A" w:rsidP="005B5360">
            <w:pPr>
              <w:pStyle w:val="Body"/>
              <w:spacing w:after="0" w:line="240" w:lineRule="auto"/>
              <w:rPr>
                <w:color w:val="000000" w:themeColor="text1"/>
                <w:u w:color="1F497D"/>
                <w:lang w:val="en-GB"/>
              </w:rPr>
            </w:pPr>
            <w:r w:rsidRPr="00870F26">
              <w:rPr>
                <w:color w:val="000000" w:themeColor="text1"/>
                <w:u w:color="1F497D"/>
                <w:lang w:val="en-GB"/>
              </w:rPr>
              <w:t>Glauser et al. (2020), Ten-years monitoring of MSWI bottom ashes with focus on TOC development and leaching behaviour, Waste Management</w:t>
            </w:r>
            <w:r>
              <w:rPr>
                <w:color w:val="000000" w:themeColor="text1"/>
                <w:u w:color="1F497D"/>
                <w:lang w:val="en-GB"/>
              </w:rPr>
              <w:t xml:space="preserve"> </w:t>
            </w:r>
            <w:r>
              <w:rPr>
                <w:noProof/>
                <w:color w:val="000000" w:themeColor="text1"/>
                <w:u w:color="1F497D"/>
                <w:lang w:val="en-GB"/>
              </w:rPr>
              <w:t>[1]</w:t>
            </w:r>
          </w:p>
        </w:tc>
      </w:tr>
    </w:tbl>
    <w:p w:rsidR="003E762A" w:rsidRPr="00870F26" w:rsidRDefault="003E762A" w:rsidP="00BB3737">
      <w:pPr>
        <w:pStyle w:val="Body"/>
        <w:widowControl w:val="0"/>
        <w:spacing w:after="0" w:line="240" w:lineRule="auto"/>
        <w:rPr>
          <w:iCs/>
          <w:sz w:val="24"/>
          <w:szCs w:val="24"/>
          <w:lang w:val="en-GB"/>
        </w:rPr>
      </w:pPr>
    </w:p>
    <w:p w:rsidR="003E762A" w:rsidRPr="0009012D" w:rsidRDefault="003E762A" w:rsidP="00BB3737">
      <w:pPr>
        <w:pStyle w:val="Body"/>
        <w:spacing w:after="0"/>
        <w:rPr>
          <w:b/>
          <w:bCs/>
          <w:sz w:val="24"/>
          <w:szCs w:val="24"/>
          <w:lang w:val="en-GB"/>
        </w:rPr>
      </w:pPr>
      <w:r w:rsidRPr="0009012D">
        <w:rPr>
          <w:b/>
          <w:bCs/>
          <w:sz w:val="24"/>
          <w:szCs w:val="24"/>
          <w:lang w:val="en-GB"/>
        </w:rPr>
        <w:t>Value of the Data</w:t>
      </w:r>
    </w:p>
    <w:p w:rsidR="003E762A" w:rsidRPr="0053150C" w:rsidRDefault="003E762A" w:rsidP="00BC2A5E">
      <w:pPr>
        <w:pStyle w:val="ListParagraph"/>
        <w:numPr>
          <w:ilvl w:val="0"/>
          <w:numId w:val="6"/>
        </w:numPr>
        <w:jc w:val="both"/>
        <w:rPr>
          <w:color w:val="auto"/>
          <w:lang w:val="en-GB"/>
        </w:rPr>
      </w:pPr>
      <w:r>
        <w:t xml:space="preserve">The data derive from a </w:t>
      </w:r>
      <w:r w:rsidRPr="0053150C">
        <w:rPr>
          <w:color w:val="auto"/>
          <w:u w:color="1F497D"/>
          <w:lang w:val="en-GB"/>
        </w:rPr>
        <w:t xml:space="preserve">systematic and representative monitoring over ten years of bottom ashes </w:t>
      </w:r>
      <w:r>
        <w:rPr>
          <w:color w:val="auto"/>
          <w:u w:color="1F497D"/>
          <w:lang w:val="en-GB"/>
        </w:rPr>
        <w:t>identically applied in</w:t>
      </w:r>
      <w:r w:rsidRPr="0053150C">
        <w:rPr>
          <w:color w:val="auto"/>
          <w:u w:color="1F497D"/>
          <w:lang w:val="en-GB"/>
        </w:rPr>
        <w:t xml:space="preserve"> six Swiss MSWI plants. The extent of the dataset and the systematic of sampling are unique for bottom ash.</w:t>
      </w:r>
    </w:p>
    <w:p w:rsidR="003E762A" w:rsidRPr="00670AB5" w:rsidRDefault="003E762A" w:rsidP="00681799">
      <w:pPr>
        <w:pStyle w:val="ListParagraph"/>
        <w:numPr>
          <w:ilvl w:val="0"/>
          <w:numId w:val="6"/>
        </w:numPr>
        <w:jc w:val="both"/>
        <w:rPr>
          <w:color w:val="auto"/>
          <w:lang w:val="en-GB"/>
        </w:rPr>
      </w:pPr>
      <w:r w:rsidRPr="0050617D">
        <w:rPr>
          <w:color w:val="auto"/>
          <w:u w:color="1F497D"/>
          <w:lang w:val="en-GB"/>
        </w:rPr>
        <w:t xml:space="preserve">Beneficiaries of these data include researchers, </w:t>
      </w:r>
      <w:r>
        <w:rPr>
          <w:color w:val="auto"/>
          <w:u w:color="1F497D"/>
          <w:lang w:val="en-GB"/>
        </w:rPr>
        <w:t>authorities</w:t>
      </w:r>
      <w:r w:rsidRPr="0050617D">
        <w:rPr>
          <w:color w:val="auto"/>
          <w:u w:color="1F497D"/>
          <w:lang w:val="en-GB"/>
        </w:rPr>
        <w:t xml:space="preserve">, </w:t>
      </w:r>
      <w:r>
        <w:rPr>
          <w:color w:val="auto"/>
          <w:u w:color="1F497D"/>
          <w:lang w:val="en-GB"/>
        </w:rPr>
        <w:t xml:space="preserve">MSWI plant operators and </w:t>
      </w:r>
      <w:r w:rsidRPr="0050617D">
        <w:rPr>
          <w:color w:val="auto"/>
          <w:u w:color="1F497D"/>
          <w:lang w:val="en-GB"/>
        </w:rPr>
        <w:t xml:space="preserve">others </w:t>
      </w:r>
      <w:r>
        <w:rPr>
          <w:color w:val="auto"/>
          <w:u w:color="1F497D"/>
          <w:lang w:val="en-GB"/>
        </w:rPr>
        <w:t>involved in</w:t>
      </w:r>
      <w:r w:rsidRPr="0050617D">
        <w:rPr>
          <w:color w:val="auto"/>
          <w:u w:color="1F497D"/>
          <w:lang w:val="en-GB"/>
        </w:rPr>
        <w:t xml:space="preserve"> </w:t>
      </w:r>
      <w:r>
        <w:rPr>
          <w:color w:val="auto"/>
          <w:u w:color="1F497D"/>
          <w:lang w:val="en-GB"/>
        </w:rPr>
        <w:t>waste</w:t>
      </w:r>
      <w:r w:rsidRPr="0050617D">
        <w:rPr>
          <w:color w:val="auto"/>
          <w:u w:color="1F497D"/>
          <w:lang w:val="en-GB"/>
        </w:rPr>
        <w:t xml:space="preserve"> management</w:t>
      </w:r>
      <w:r>
        <w:rPr>
          <w:color w:val="auto"/>
          <w:u w:color="1F497D"/>
          <w:lang w:val="en-GB"/>
        </w:rPr>
        <w:t>.</w:t>
      </w:r>
    </w:p>
    <w:p w:rsidR="003E762A" w:rsidRPr="00AB3AC5" w:rsidRDefault="003E762A" w:rsidP="00681799">
      <w:pPr>
        <w:pStyle w:val="ListParagraph"/>
        <w:numPr>
          <w:ilvl w:val="0"/>
          <w:numId w:val="6"/>
        </w:numPr>
        <w:jc w:val="both"/>
        <w:rPr>
          <w:color w:val="auto"/>
          <w:lang w:val="en-GB"/>
        </w:rPr>
      </w:pPr>
      <w:r>
        <w:rPr>
          <w:color w:val="auto"/>
          <w:u w:color="1F497D"/>
          <w:lang w:val="en-GB"/>
        </w:rPr>
        <w:t xml:space="preserve">The data is of </w:t>
      </w:r>
      <w:r w:rsidRPr="005D2FF7">
        <w:rPr>
          <w:color w:val="auto"/>
          <w:u w:color="1F497D"/>
          <w:lang w:val="en-GB"/>
        </w:rPr>
        <w:t>valu</w:t>
      </w:r>
      <w:r>
        <w:rPr>
          <w:color w:val="auto"/>
          <w:u w:color="1F497D"/>
          <w:lang w:val="en-GB"/>
        </w:rPr>
        <w:t>e</w:t>
      </w:r>
      <w:r w:rsidRPr="005D2FF7">
        <w:rPr>
          <w:color w:val="auto"/>
          <w:u w:color="1F497D"/>
          <w:lang w:val="en-GB"/>
        </w:rPr>
        <w:t xml:space="preserve"> for the ongoing political discussion in Switzerland</w:t>
      </w:r>
      <w:r>
        <w:rPr>
          <w:color w:val="auto"/>
          <w:u w:color="1F497D"/>
          <w:lang w:val="en-GB"/>
        </w:rPr>
        <w:t xml:space="preserve"> regarding legislation of </w:t>
      </w:r>
      <w:proofErr w:type="gramStart"/>
      <w:r>
        <w:rPr>
          <w:color w:val="auto"/>
          <w:u w:color="1F497D"/>
          <w:lang w:val="en-GB"/>
        </w:rPr>
        <w:t>bottom ash quality requirements</w:t>
      </w:r>
      <w:proofErr w:type="gramEnd"/>
      <w:r>
        <w:rPr>
          <w:color w:val="auto"/>
          <w:u w:color="1F497D"/>
          <w:lang w:val="en-GB"/>
        </w:rPr>
        <w:t xml:space="preserve">. The dataset further </w:t>
      </w:r>
      <w:r w:rsidRPr="00E83321">
        <w:rPr>
          <w:color w:val="auto"/>
          <w:u w:color="1F497D"/>
          <w:lang w:val="en-GB"/>
        </w:rPr>
        <w:t xml:space="preserve">serves as a basis </w:t>
      </w:r>
      <w:r>
        <w:rPr>
          <w:color w:val="auto"/>
          <w:u w:color="1F497D"/>
          <w:lang w:val="en-GB"/>
        </w:rPr>
        <w:t xml:space="preserve">for comparison with other bottom ashes worldwide and helps to estimate potential for </w:t>
      </w:r>
      <w:proofErr w:type="gramStart"/>
      <w:r>
        <w:rPr>
          <w:color w:val="auto"/>
          <w:u w:color="1F497D"/>
          <w:lang w:val="en-GB"/>
        </w:rPr>
        <w:t>bottom ash quality</w:t>
      </w:r>
      <w:r w:rsidRPr="00B92807">
        <w:rPr>
          <w:color w:val="auto"/>
          <w:u w:color="1F497D"/>
          <w:lang w:val="en-GB"/>
        </w:rPr>
        <w:t xml:space="preserve"> </w:t>
      </w:r>
      <w:r>
        <w:rPr>
          <w:color w:val="auto"/>
          <w:u w:color="1F497D"/>
          <w:lang w:val="en-GB"/>
        </w:rPr>
        <w:t>improvements</w:t>
      </w:r>
      <w:proofErr w:type="gramEnd"/>
      <w:r>
        <w:rPr>
          <w:color w:val="auto"/>
          <w:u w:color="1F497D"/>
          <w:lang w:val="en-GB"/>
        </w:rPr>
        <w:t>.</w:t>
      </w:r>
    </w:p>
    <w:p w:rsidR="003E762A" w:rsidRPr="00B37B08" w:rsidRDefault="003E762A" w:rsidP="00681799">
      <w:pPr>
        <w:pStyle w:val="ListParagraph"/>
        <w:numPr>
          <w:ilvl w:val="0"/>
          <w:numId w:val="6"/>
        </w:numPr>
        <w:jc w:val="both"/>
        <w:rPr>
          <w:color w:val="auto"/>
          <w:lang w:val="en-GB"/>
        </w:rPr>
      </w:pPr>
      <w:r>
        <w:rPr>
          <w:color w:val="auto"/>
          <w:u w:color="1F497D"/>
          <w:lang w:val="en-GB"/>
        </w:rPr>
        <w:t xml:space="preserve">Thanks to the long sampling period at six different MSWI </w:t>
      </w:r>
      <w:proofErr w:type="gramStart"/>
      <w:r>
        <w:rPr>
          <w:color w:val="auto"/>
          <w:u w:color="1F497D"/>
          <w:lang w:val="en-GB"/>
        </w:rPr>
        <w:t>plants</w:t>
      </w:r>
      <w:proofErr w:type="gramEnd"/>
      <w:r>
        <w:rPr>
          <w:color w:val="auto"/>
          <w:u w:color="1F497D"/>
          <w:lang w:val="en-GB"/>
        </w:rPr>
        <w:t xml:space="preserve"> temporal trends and correlations between parameters can be derived from these data. </w:t>
      </w:r>
      <w:r w:rsidRPr="00024BA1">
        <w:rPr>
          <w:u w:color="1F497D"/>
          <w:lang w:val="en-GB"/>
        </w:rPr>
        <w:t xml:space="preserve">In addition, the data </w:t>
      </w:r>
      <w:r w:rsidRPr="00024BA1">
        <w:rPr>
          <w:color w:val="auto"/>
          <w:u w:color="1F497D"/>
          <w:lang w:val="en-GB"/>
        </w:rPr>
        <w:t>serve as a basis for further studies such as the investigation of long-term behaviour using geochemical modelling.</w:t>
      </w:r>
    </w:p>
    <w:p w:rsidR="003E762A" w:rsidRPr="00B37B08" w:rsidRDefault="003E762A" w:rsidP="00B37B08">
      <w:pPr>
        <w:pStyle w:val="ListParagraph"/>
        <w:numPr>
          <w:ilvl w:val="0"/>
          <w:numId w:val="6"/>
        </w:numPr>
        <w:jc w:val="both"/>
        <w:rPr>
          <w:color w:val="auto"/>
          <w:lang w:val="en-GB"/>
        </w:rPr>
      </w:pPr>
      <w:r w:rsidRPr="00B37B08">
        <w:rPr>
          <w:color w:val="auto"/>
          <w:lang w:val="en-GB"/>
        </w:rPr>
        <w:br w:type="page"/>
      </w:r>
    </w:p>
    <w:p w:rsidR="003E762A" w:rsidRPr="0009012D" w:rsidRDefault="003E762A">
      <w:pPr>
        <w:pStyle w:val="Body"/>
        <w:spacing w:after="0"/>
        <w:rPr>
          <w:b/>
          <w:bCs/>
          <w:sz w:val="24"/>
          <w:szCs w:val="24"/>
          <w:lang w:val="en-GB"/>
        </w:rPr>
      </w:pPr>
      <w:r w:rsidRPr="0009012D">
        <w:rPr>
          <w:b/>
          <w:bCs/>
          <w:sz w:val="24"/>
          <w:szCs w:val="24"/>
          <w:lang w:val="en-GB"/>
        </w:rPr>
        <w:lastRenderedPageBreak/>
        <w:t>Data</w:t>
      </w:r>
      <w:r>
        <w:rPr>
          <w:b/>
          <w:bCs/>
          <w:sz w:val="24"/>
          <w:szCs w:val="24"/>
          <w:lang w:val="en-GB"/>
        </w:rPr>
        <w:t xml:space="preserve"> Description</w:t>
      </w:r>
    </w:p>
    <w:p w:rsidR="003E762A" w:rsidRPr="00D25DEE" w:rsidRDefault="003E762A" w:rsidP="00681799">
      <w:pPr>
        <w:pStyle w:val="Body"/>
        <w:spacing w:after="0"/>
        <w:jc w:val="both"/>
        <w:rPr>
          <w:color w:val="000000" w:themeColor="text1"/>
          <w:u w:color="1F497D"/>
          <w:lang w:val="en-US"/>
        </w:rPr>
      </w:pPr>
      <w:r>
        <w:rPr>
          <w:color w:val="000000" w:themeColor="text1"/>
          <w:u w:color="1F497D"/>
          <w:lang w:val="en-GB"/>
        </w:rPr>
        <w:t xml:space="preserve">In Switzerland, bottom ash has to </w:t>
      </w:r>
      <w:proofErr w:type="gramStart"/>
      <w:r>
        <w:rPr>
          <w:color w:val="000000" w:themeColor="text1"/>
          <w:u w:color="1F497D"/>
          <w:lang w:val="en-GB"/>
        </w:rPr>
        <w:t>be deposited</w:t>
      </w:r>
      <w:proofErr w:type="gramEnd"/>
      <w:r>
        <w:rPr>
          <w:color w:val="000000" w:themeColor="text1"/>
          <w:u w:color="1F497D"/>
          <w:lang w:val="en-GB"/>
        </w:rPr>
        <w:t xml:space="preserve"> on landfills due to elevated total contents of pollutants, such as heavy metals and TOC. With the periodic measurements presented in this dataset, the Canton of Zürich monitors the development of bottom ash quality of all six MSWI plants. For t</w:t>
      </w:r>
      <w:r w:rsidRPr="00D25DEE">
        <w:rPr>
          <w:color w:val="000000" w:themeColor="text1"/>
          <w:u w:color="1F497D"/>
          <w:lang w:val="en-GB"/>
        </w:rPr>
        <w:t>echnical details of the</w:t>
      </w:r>
      <w:r>
        <w:rPr>
          <w:color w:val="000000" w:themeColor="text1"/>
          <w:u w:color="1F497D"/>
          <w:lang w:val="en-GB"/>
        </w:rPr>
        <w:t xml:space="preserve"> </w:t>
      </w:r>
      <w:proofErr w:type="gramStart"/>
      <w:r>
        <w:rPr>
          <w:color w:val="000000" w:themeColor="text1"/>
          <w:u w:color="1F497D"/>
          <w:lang w:val="en-GB"/>
        </w:rPr>
        <w:t>concerning</w:t>
      </w:r>
      <w:proofErr w:type="gramEnd"/>
      <w:r w:rsidRPr="00D25DEE">
        <w:rPr>
          <w:color w:val="000000" w:themeColor="text1"/>
          <w:u w:color="1F497D"/>
          <w:lang w:val="en-GB"/>
        </w:rPr>
        <w:t xml:space="preserve"> MSWI plants in the Canton of Zürich</w:t>
      </w:r>
      <w:r>
        <w:rPr>
          <w:color w:val="000000" w:themeColor="text1"/>
          <w:u w:color="1F497D"/>
          <w:lang w:val="en-GB"/>
        </w:rPr>
        <w:t xml:space="preserve"> refer to </w:t>
      </w:r>
      <w:r>
        <w:rPr>
          <w:noProof/>
          <w:color w:val="000000" w:themeColor="text1"/>
          <w:u w:color="1F497D"/>
          <w:lang w:val="en-GB"/>
        </w:rPr>
        <w:t>[1]</w:t>
      </w:r>
      <w:r>
        <w:rPr>
          <w:color w:val="000000" w:themeColor="text1"/>
          <w:u w:color="1F497D"/>
          <w:lang w:val="en-GB"/>
        </w:rPr>
        <w:t>.</w:t>
      </w:r>
    </w:p>
    <w:p w:rsidR="003E762A" w:rsidRDefault="003E762A">
      <w:pPr>
        <w:pStyle w:val="Body"/>
        <w:spacing w:after="0"/>
        <w:rPr>
          <w:color w:val="000000" w:themeColor="text1"/>
          <w:u w:color="1F497D"/>
          <w:lang w:val="en-GB"/>
        </w:rPr>
      </w:pPr>
    </w:p>
    <w:p w:rsidR="003E762A" w:rsidRDefault="003E762A">
      <w:pPr>
        <w:pStyle w:val="Body"/>
        <w:spacing w:after="0"/>
        <w:rPr>
          <w:color w:val="000000" w:themeColor="text1"/>
          <w:u w:color="1F497D"/>
          <w:lang w:val="en-GB"/>
        </w:rPr>
      </w:pPr>
      <w:r>
        <w:rPr>
          <w:color w:val="000000" w:themeColor="text1"/>
          <w:u w:color="1F497D"/>
          <w:lang w:val="en-GB"/>
        </w:rPr>
        <w:t xml:space="preserve">The results of the monitoring of each plant </w:t>
      </w:r>
      <w:proofErr w:type="gramStart"/>
      <w:r>
        <w:rPr>
          <w:color w:val="000000" w:themeColor="text1"/>
          <w:u w:color="1F497D"/>
          <w:lang w:val="en-GB"/>
        </w:rPr>
        <w:t>are presented</w:t>
      </w:r>
      <w:proofErr w:type="gramEnd"/>
      <w:r>
        <w:rPr>
          <w:color w:val="000000" w:themeColor="text1"/>
          <w:u w:color="1F497D"/>
          <w:lang w:val="en-GB"/>
        </w:rPr>
        <w:t xml:space="preserve"> in</w:t>
      </w:r>
      <w:r w:rsidRPr="0049013A">
        <w:rPr>
          <w:color w:val="000000" w:themeColor="text1"/>
          <w:u w:color="1F497D"/>
          <w:lang w:val="en-GB"/>
        </w:rPr>
        <w:fldChar w:fldCharType="begin"/>
      </w:r>
      <w:r w:rsidRPr="0049013A">
        <w:rPr>
          <w:color w:val="000000" w:themeColor="text1"/>
          <w:u w:color="1F497D"/>
          <w:lang w:val="en-GB"/>
        </w:rPr>
        <w:instrText xml:space="preserve"> REF _Ref36722441 \h  \* MERGEFORMAT </w:instrText>
      </w:r>
      <w:r w:rsidRPr="0049013A">
        <w:rPr>
          <w:color w:val="000000" w:themeColor="text1"/>
          <w:u w:color="1F497D"/>
          <w:lang w:val="en-GB"/>
        </w:rPr>
      </w:r>
      <w:r w:rsidRPr="0049013A">
        <w:rPr>
          <w:color w:val="000000" w:themeColor="text1"/>
          <w:u w:color="1F497D"/>
          <w:lang w:val="en-GB"/>
        </w:rPr>
        <w:fldChar w:fldCharType="separate"/>
      </w:r>
      <w:r w:rsidRPr="003E762A">
        <w:rPr>
          <w:color w:val="auto"/>
          <w:lang w:val="en-US"/>
        </w:rPr>
        <w:t xml:space="preserve">Table </w:t>
      </w:r>
      <w:r w:rsidRPr="003E762A">
        <w:rPr>
          <w:noProof/>
          <w:color w:val="auto"/>
          <w:lang w:val="en-US"/>
        </w:rPr>
        <w:t>1</w:t>
      </w:r>
      <w:r w:rsidRPr="0049013A">
        <w:rPr>
          <w:color w:val="000000" w:themeColor="text1"/>
          <w:u w:color="1F497D"/>
          <w:lang w:val="en-GB"/>
        </w:rPr>
        <w:fldChar w:fldCharType="end"/>
      </w:r>
      <w:r>
        <w:rPr>
          <w:color w:val="000000" w:themeColor="text1"/>
          <w:u w:color="1F497D"/>
          <w:lang w:val="en-GB"/>
        </w:rPr>
        <w:t>-6 as well as in a supplementary excel file and are structured as follows:</w:t>
      </w:r>
    </w:p>
    <w:p w:rsidR="003E762A" w:rsidRDefault="003E762A" w:rsidP="00646B5D">
      <w:pPr>
        <w:pStyle w:val="Body"/>
        <w:numPr>
          <w:ilvl w:val="0"/>
          <w:numId w:val="12"/>
        </w:numPr>
        <w:spacing w:after="0"/>
        <w:rPr>
          <w:color w:val="000000" w:themeColor="text1"/>
          <w:u w:color="1F497D"/>
          <w:lang w:val="en-GB"/>
        </w:rPr>
      </w:pPr>
      <w:r>
        <w:rPr>
          <w:color w:val="000000" w:themeColor="text1"/>
          <w:u w:color="1F497D"/>
          <w:lang w:val="en-GB"/>
        </w:rPr>
        <w:t>Results of the solid chemical analysis</w:t>
      </w:r>
    </w:p>
    <w:p w:rsidR="003E762A" w:rsidRDefault="003E762A" w:rsidP="00646B5D">
      <w:pPr>
        <w:pStyle w:val="Body"/>
        <w:numPr>
          <w:ilvl w:val="0"/>
          <w:numId w:val="12"/>
        </w:numPr>
        <w:spacing w:after="0"/>
        <w:rPr>
          <w:color w:val="000000" w:themeColor="text1"/>
          <w:u w:color="1F497D"/>
          <w:lang w:val="en-GB"/>
        </w:rPr>
      </w:pPr>
      <w:r>
        <w:rPr>
          <w:color w:val="000000" w:themeColor="text1"/>
          <w:u w:color="1F497D"/>
          <w:lang w:val="en-GB"/>
        </w:rPr>
        <w:t>Results of the batch eluate tests</w:t>
      </w:r>
    </w:p>
    <w:p w:rsidR="003E762A" w:rsidRDefault="003E762A" w:rsidP="00834086">
      <w:pPr>
        <w:pStyle w:val="Body"/>
        <w:spacing w:after="0"/>
        <w:rPr>
          <w:color w:val="000000" w:themeColor="text1"/>
          <w:u w:color="1F497D"/>
          <w:lang w:val="en-GB"/>
        </w:rPr>
      </w:pPr>
    </w:p>
    <w:p w:rsidR="003E762A" w:rsidRDefault="003E762A" w:rsidP="00646B5D">
      <w:pPr>
        <w:pStyle w:val="Body"/>
        <w:spacing w:after="0"/>
        <w:rPr>
          <w:color w:val="000000" w:themeColor="text1"/>
          <w:u w:color="1F497D"/>
          <w:lang w:val="en-GB"/>
        </w:rPr>
      </w:pPr>
      <w:r>
        <w:rPr>
          <w:color w:val="000000" w:themeColor="text1"/>
          <w:u w:color="1F497D"/>
          <w:lang w:val="en-GB"/>
        </w:rPr>
        <w:t>The r</w:t>
      </w:r>
      <w:r w:rsidRPr="0049013A">
        <w:rPr>
          <w:color w:val="000000" w:themeColor="text1"/>
          <w:u w:color="1F497D"/>
          <w:lang w:val="en-GB"/>
        </w:rPr>
        <w:t xml:space="preserve">esults are listed in </w:t>
      </w:r>
      <w:r w:rsidRPr="0049013A">
        <w:rPr>
          <w:color w:val="000000" w:themeColor="text1"/>
          <w:u w:color="1F497D"/>
          <w:lang w:val="en-GB"/>
        </w:rPr>
        <w:fldChar w:fldCharType="begin"/>
      </w:r>
      <w:r w:rsidRPr="0049013A">
        <w:rPr>
          <w:color w:val="000000" w:themeColor="text1"/>
          <w:u w:color="1F497D"/>
          <w:lang w:val="en-GB"/>
        </w:rPr>
        <w:instrText xml:space="preserve"> REF _Ref36722441 \h  \* MERGEFORMAT </w:instrText>
      </w:r>
      <w:r w:rsidRPr="0049013A">
        <w:rPr>
          <w:color w:val="000000" w:themeColor="text1"/>
          <w:u w:color="1F497D"/>
          <w:lang w:val="en-GB"/>
        </w:rPr>
      </w:r>
      <w:r w:rsidRPr="0049013A">
        <w:rPr>
          <w:color w:val="000000" w:themeColor="text1"/>
          <w:u w:color="1F497D"/>
          <w:lang w:val="en-GB"/>
        </w:rPr>
        <w:fldChar w:fldCharType="separate"/>
      </w:r>
      <w:r w:rsidRPr="003E762A">
        <w:rPr>
          <w:color w:val="auto"/>
          <w:lang w:val="en-US"/>
        </w:rPr>
        <w:t xml:space="preserve">Table </w:t>
      </w:r>
      <w:r w:rsidRPr="003E762A">
        <w:rPr>
          <w:noProof/>
          <w:color w:val="auto"/>
          <w:lang w:val="en-US"/>
        </w:rPr>
        <w:t>1</w:t>
      </w:r>
      <w:r w:rsidRPr="0049013A">
        <w:rPr>
          <w:color w:val="000000" w:themeColor="text1"/>
          <w:u w:color="1F497D"/>
          <w:lang w:val="en-GB"/>
        </w:rPr>
        <w:fldChar w:fldCharType="end"/>
      </w:r>
      <w:r>
        <w:rPr>
          <w:color w:val="000000" w:themeColor="text1"/>
          <w:u w:color="1F497D"/>
          <w:lang w:val="en-GB"/>
        </w:rPr>
        <w:t>-6</w:t>
      </w:r>
      <w:r w:rsidRPr="0049013A">
        <w:rPr>
          <w:color w:val="000000" w:themeColor="text1"/>
          <w:u w:color="1F497D"/>
          <w:lang w:val="en-GB"/>
        </w:rPr>
        <w:t xml:space="preserve">, </w:t>
      </w:r>
      <w:r>
        <w:rPr>
          <w:color w:val="000000" w:themeColor="text1"/>
          <w:u w:color="1F497D"/>
          <w:lang w:val="en-GB"/>
        </w:rPr>
        <w:t xml:space="preserve">in the following order: </w:t>
      </w:r>
      <w:r>
        <w:rPr>
          <w:color w:val="000000" w:themeColor="text1"/>
          <w:u w:color="1F497D"/>
          <w:lang w:val="en-GB"/>
        </w:rPr>
        <w:fldChar w:fldCharType="begin"/>
      </w:r>
      <w:r>
        <w:rPr>
          <w:color w:val="000000" w:themeColor="text1"/>
          <w:u w:color="1F497D"/>
          <w:lang w:val="en-GB"/>
        </w:rPr>
        <w:instrText xml:space="preserve"> REF _Ref36722441 \h  \* MERGEFORMAT </w:instrText>
      </w:r>
      <w:r>
        <w:rPr>
          <w:color w:val="000000" w:themeColor="text1"/>
          <w:u w:color="1F497D"/>
          <w:lang w:val="en-GB"/>
        </w:rPr>
      </w:r>
      <w:r>
        <w:rPr>
          <w:color w:val="000000" w:themeColor="text1"/>
          <w:u w:color="1F497D"/>
          <w:lang w:val="en-GB"/>
        </w:rPr>
        <w:fldChar w:fldCharType="separate"/>
      </w:r>
      <w:r w:rsidRPr="003E762A">
        <w:rPr>
          <w:color w:val="000000" w:themeColor="text1"/>
          <w:u w:color="1F497D"/>
          <w:lang w:val="en-GB"/>
        </w:rPr>
        <w:t>Table 1</w:t>
      </w:r>
      <w:r>
        <w:rPr>
          <w:color w:val="000000" w:themeColor="text1"/>
          <w:u w:color="1F497D"/>
          <w:lang w:val="en-GB"/>
        </w:rPr>
        <w:fldChar w:fldCharType="end"/>
      </w:r>
      <w:r>
        <w:rPr>
          <w:color w:val="000000" w:themeColor="text1"/>
          <w:u w:color="1F497D"/>
          <w:lang w:val="en-GB"/>
        </w:rPr>
        <w:t xml:space="preserve">: Plant A, </w:t>
      </w:r>
      <w:r w:rsidRPr="0049013A">
        <w:rPr>
          <w:color w:val="000000" w:themeColor="text1"/>
          <w:u w:color="1F497D"/>
          <w:lang w:val="en-GB"/>
        </w:rPr>
        <w:fldChar w:fldCharType="begin"/>
      </w:r>
      <w:r w:rsidRPr="0049013A">
        <w:rPr>
          <w:color w:val="000000" w:themeColor="text1"/>
          <w:u w:color="1F497D"/>
          <w:lang w:val="en-GB"/>
        </w:rPr>
        <w:instrText xml:space="preserve"> REF _Ref36722448 \h  \* MERGEFORMAT </w:instrText>
      </w:r>
      <w:r w:rsidRPr="0049013A">
        <w:rPr>
          <w:color w:val="000000" w:themeColor="text1"/>
          <w:u w:color="1F497D"/>
          <w:lang w:val="en-GB"/>
        </w:rPr>
      </w:r>
      <w:r w:rsidRPr="0049013A">
        <w:rPr>
          <w:color w:val="000000" w:themeColor="text1"/>
          <w:u w:color="1F497D"/>
          <w:lang w:val="en-GB"/>
        </w:rPr>
        <w:fldChar w:fldCharType="separate"/>
      </w:r>
      <w:r w:rsidRPr="003E762A">
        <w:rPr>
          <w:color w:val="auto"/>
          <w:lang w:val="en-US"/>
        </w:rPr>
        <w:t xml:space="preserve">Table </w:t>
      </w:r>
      <w:r w:rsidRPr="003E762A">
        <w:rPr>
          <w:noProof/>
          <w:color w:val="auto"/>
          <w:lang w:val="en-US"/>
        </w:rPr>
        <w:t>2</w:t>
      </w:r>
      <w:r w:rsidRPr="0049013A">
        <w:rPr>
          <w:color w:val="000000" w:themeColor="text1"/>
          <w:u w:color="1F497D"/>
          <w:lang w:val="en-GB"/>
        </w:rPr>
        <w:fldChar w:fldCharType="end"/>
      </w:r>
      <w:r>
        <w:rPr>
          <w:color w:val="000000" w:themeColor="text1"/>
          <w:u w:color="1F497D"/>
          <w:lang w:val="en-GB"/>
        </w:rPr>
        <w:t xml:space="preserve">: </w:t>
      </w:r>
      <w:r w:rsidRPr="0049013A">
        <w:rPr>
          <w:color w:val="000000" w:themeColor="text1"/>
          <w:u w:color="1F497D"/>
          <w:lang w:val="en-GB"/>
        </w:rPr>
        <w:t xml:space="preserve">Plant B, </w:t>
      </w:r>
      <w:r w:rsidRPr="0049013A">
        <w:rPr>
          <w:color w:val="000000" w:themeColor="text1"/>
          <w:u w:color="1F497D"/>
          <w:lang w:val="en-GB"/>
        </w:rPr>
        <w:fldChar w:fldCharType="begin"/>
      </w:r>
      <w:r w:rsidRPr="0049013A">
        <w:rPr>
          <w:color w:val="000000" w:themeColor="text1"/>
          <w:u w:color="1F497D"/>
          <w:lang w:val="en-GB"/>
        </w:rPr>
        <w:instrText xml:space="preserve"> REF _Ref36722462 \h  \* MERGEFORMAT </w:instrText>
      </w:r>
      <w:r w:rsidRPr="0049013A">
        <w:rPr>
          <w:color w:val="000000" w:themeColor="text1"/>
          <w:u w:color="1F497D"/>
          <w:lang w:val="en-GB"/>
        </w:rPr>
      </w:r>
      <w:r w:rsidRPr="0049013A">
        <w:rPr>
          <w:color w:val="000000" w:themeColor="text1"/>
          <w:u w:color="1F497D"/>
          <w:lang w:val="en-GB"/>
        </w:rPr>
        <w:fldChar w:fldCharType="separate"/>
      </w:r>
      <w:r w:rsidRPr="003E762A">
        <w:rPr>
          <w:color w:val="auto"/>
          <w:lang w:val="en-US"/>
        </w:rPr>
        <w:t xml:space="preserve">Table </w:t>
      </w:r>
      <w:r w:rsidRPr="003E762A">
        <w:rPr>
          <w:noProof/>
          <w:color w:val="auto"/>
          <w:lang w:val="en-US"/>
        </w:rPr>
        <w:t>3</w:t>
      </w:r>
      <w:r w:rsidRPr="0049013A">
        <w:rPr>
          <w:color w:val="000000" w:themeColor="text1"/>
          <w:u w:color="1F497D"/>
          <w:lang w:val="en-GB"/>
        </w:rPr>
        <w:fldChar w:fldCharType="end"/>
      </w:r>
      <w:r>
        <w:rPr>
          <w:color w:val="000000" w:themeColor="text1"/>
          <w:u w:color="1F497D"/>
          <w:lang w:val="en-GB"/>
        </w:rPr>
        <w:t xml:space="preserve">: </w:t>
      </w:r>
      <w:r w:rsidRPr="0049013A">
        <w:rPr>
          <w:color w:val="000000" w:themeColor="text1"/>
          <w:u w:color="1F497D"/>
          <w:lang w:val="en-GB"/>
        </w:rPr>
        <w:t xml:space="preserve">Plant C, </w:t>
      </w:r>
      <w:r w:rsidRPr="0049013A">
        <w:rPr>
          <w:color w:val="000000" w:themeColor="text1"/>
          <w:u w:color="1F497D"/>
          <w:lang w:val="en-GB"/>
        </w:rPr>
        <w:fldChar w:fldCharType="begin"/>
      </w:r>
      <w:r w:rsidRPr="0049013A">
        <w:rPr>
          <w:color w:val="000000" w:themeColor="text1"/>
          <w:u w:color="1F497D"/>
          <w:lang w:val="en-GB"/>
        </w:rPr>
        <w:instrText xml:space="preserve"> REF _Ref36722466 \h  \* MERGEFORMAT </w:instrText>
      </w:r>
      <w:r w:rsidRPr="0049013A">
        <w:rPr>
          <w:color w:val="000000" w:themeColor="text1"/>
          <w:u w:color="1F497D"/>
          <w:lang w:val="en-GB"/>
        </w:rPr>
      </w:r>
      <w:r w:rsidRPr="0049013A">
        <w:rPr>
          <w:color w:val="000000" w:themeColor="text1"/>
          <w:u w:color="1F497D"/>
          <w:lang w:val="en-GB"/>
        </w:rPr>
        <w:fldChar w:fldCharType="separate"/>
      </w:r>
      <w:r w:rsidRPr="003E762A">
        <w:rPr>
          <w:color w:val="auto"/>
          <w:lang w:val="en-US"/>
        </w:rPr>
        <w:t xml:space="preserve">Table </w:t>
      </w:r>
      <w:r w:rsidRPr="003E762A">
        <w:rPr>
          <w:noProof/>
          <w:color w:val="auto"/>
          <w:lang w:val="en-US"/>
        </w:rPr>
        <w:t>4</w:t>
      </w:r>
      <w:r w:rsidRPr="0049013A">
        <w:rPr>
          <w:color w:val="000000" w:themeColor="text1"/>
          <w:u w:color="1F497D"/>
          <w:lang w:val="en-GB"/>
        </w:rPr>
        <w:fldChar w:fldCharType="end"/>
      </w:r>
      <w:r>
        <w:rPr>
          <w:color w:val="000000" w:themeColor="text1"/>
          <w:u w:color="1F497D"/>
          <w:lang w:val="en-GB"/>
        </w:rPr>
        <w:t xml:space="preserve">: </w:t>
      </w:r>
      <w:r w:rsidRPr="0049013A">
        <w:rPr>
          <w:color w:val="000000" w:themeColor="text1"/>
          <w:u w:color="1F497D"/>
          <w:lang w:val="en-GB"/>
        </w:rPr>
        <w:t xml:space="preserve">Plant D, </w:t>
      </w:r>
      <w:r w:rsidRPr="0049013A">
        <w:rPr>
          <w:color w:val="000000" w:themeColor="text1"/>
          <w:u w:color="1F497D"/>
          <w:lang w:val="en-GB"/>
        </w:rPr>
        <w:fldChar w:fldCharType="begin"/>
      </w:r>
      <w:r w:rsidRPr="0049013A">
        <w:rPr>
          <w:color w:val="000000" w:themeColor="text1"/>
          <w:u w:color="1F497D"/>
          <w:lang w:val="en-GB"/>
        </w:rPr>
        <w:instrText xml:space="preserve"> REF _Ref36722470 \h  \* MERGEFORMAT </w:instrText>
      </w:r>
      <w:r w:rsidRPr="0049013A">
        <w:rPr>
          <w:color w:val="000000" w:themeColor="text1"/>
          <w:u w:color="1F497D"/>
          <w:lang w:val="en-GB"/>
        </w:rPr>
      </w:r>
      <w:r w:rsidRPr="0049013A">
        <w:rPr>
          <w:color w:val="000000" w:themeColor="text1"/>
          <w:u w:color="1F497D"/>
          <w:lang w:val="en-GB"/>
        </w:rPr>
        <w:fldChar w:fldCharType="separate"/>
      </w:r>
      <w:r w:rsidRPr="003E762A">
        <w:rPr>
          <w:color w:val="auto"/>
          <w:lang w:val="en-US"/>
        </w:rPr>
        <w:t xml:space="preserve">Table </w:t>
      </w:r>
      <w:r w:rsidRPr="003E762A">
        <w:rPr>
          <w:noProof/>
          <w:color w:val="auto"/>
          <w:lang w:val="en-US"/>
        </w:rPr>
        <w:t>5</w:t>
      </w:r>
      <w:r w:rsidRPr="0049013A">
        <w:rPr>
          <w:color w:val="000000" w:themeColor="text1"/>
          <w:u w:color="1F497D"/>
          <w:lang w:val="en-GB"/>
        </w:rPr>
        <w:fldChar w:fldCharType="end"/>
      </w:r>
      <w:r>
        <w:rPr>
          <w:color w:val="000000" w:themeColor="text1"/>
          <w:u w:color="1F497D"/>
          <w:lang w:val="en-GB"/>
        </w:rPr>
        <w:t xml:space="preserve">: </w:t>
      </w:r>
      <w:r w:rsidRPr="0049013A">
        <w:rPr>
          <w:color w:val="000000" w:themeColor="text1"/>
          <w:u w:color="1F497D"/>
          <w:lang w:val="en-GB"/>
        </w:rPr>
        <w:t xml:space="preserve">Plant E, </w:t>
      </w:r>
      <w:r w:rsidRPr="0049013A">
        <w:rPr>
          <w:color w:val="000000" w:themeColor="text1"/>
          <w:u w:color="1F497D"/>
          <w:lang w:val="en-GB"/>
        </w:rPr>
        <w:fldChar w:fldCharType="begin"/>
      </w:r>
      <w:r w:rsidRPr="0049013A">
        <w:rPr>
          <w:color w:val="000000" w:themeColor="text1"/>
          <w:u w:color="1F497D"/>
          <w:lang w:val="en-GB"/>
        </w:rPr>
        <w:instrText xml:space="preserve"> REF _Ref36722475 \h  \* MERGEFORMAT </w:instrText>
      </w:r>
      <w:r w:rsidRPr="0049013A">
        <w:rPr>
          <w:color w:val="000000" w:themeColor="text1"/>
          <w:u w:color="1F497D"/>
          <w:lang w:val="en-GB"/>
        </w:rPr>
      </w:r>
      <w:r w:rsidRPr="0049013A">
        <w:rPr>
          <w:color w:val="000000" w:themeColor="text1"/>
          <w:u w:color="1F497D"/>
          <w:lang w:val="en-GB"/>
        </w:rPr>
        <w:fldChar w:fldCharType="separate"/>
      </w:r>
      <w:r w:rsidRPr="003E762A">
        <w:rPr>
          <w:color w:val="auto"/>
          <w:lang w:val="en-US"/>
        </w:rPr>
        <w:t xml:space="preserve">Table </w:t>
      </w:r>
      <w:r w:rsidRPr="003E762A">
        <w:rPr>
          <w:noProof/>
          <w:color w:val="auto"/>
          <w:lang w:val="en-US"/>
        </w:rPr>
        <w:t>6</w:t>
      </w:r>
      <w:r w:rsidRPr="0049013A">
        <w:rPr>
          <w:color w:val="000000" w:themeColor="text1"/>
          <w:u w:color="1F497D"/>
          <w:lang w:val="en-GB"/>
        </w:rPr>
        <w:fldChar w:fldCharType="end"/>
      </w:r>
      <w:r>
        <w:rPr>
          <w:color w:val="000000" w:themeColor="text1"/>
          <w:u w:color="1F497D"/>
          <w:lang w:val="en-GB"/>
        </w:rPr>
        <w:t xml:space="preserve">: </w:t>
      </w:r>
      <w:r w:rsidRPr="0049013A">
        <w:rPr>
          <w:color w:val="000000" w:themeColor="text1"/>
          <w:u w:color="1F497D"/>
          <w:lang w:val="en-GB"/>
        </w:rPr>
        <w:t>Plant F. Parameters tha</w:t>
      </w:r>
      <w:r w:rsidRPr="0007158C">
        <w:rPr>
          <w:color w:val="000000" w:themeColor="text1"/>
          <w:u w:color="1F497D"/>
          <w:lang w:val="en-GB"/>
        </w:rPr>
        <w:t>t have not been analysed in one of the me</w:t>
      </w:r>
      <w:r>
        <w:rPr>
          <w:color w:val="000000" w:themeColor="text1"/>
          <w:u w:color="1F497D"/>
          <w:lang w:val="en-GB"/>
        </w:rPr>
        <w:t>asurement campaigns are indicated with “not sampled” (</w:t>
      </w:r>
      <w:proofErr w:type="spellStart"/>
      <w:r>
        <w:rPr>
          <w:color w:val="000000" w:themeColor="text1"/>
          <w:u w:color="1F497D"/>
          <w:lang w:val="en-GB"/>
        </w:rPr>
        <w:t>n.s</w:t>
      </w:r>
      <w:proofErr w:type="spellEnd"/>
      <w:r>
        <w:rPr>
          <w:color w:val="000000" w:themeColor="text1"/>
          <w:u w:color="1F497D"/>
          <w:lang w:val="en-GB"/>
        </w:rPr>
        <w:t>.).</w:t>
      </w:r>
    </w:p>
    <w:p w:rsidR="003E762A" w:rsidRDefault="003E762A">
      <w:pPr>
        <w:pStyle w:val="Body"/>
        <w:spacing w:after="0"/>
        <w:rPr>
          <w:color w:val="000000" w:themeColor="text1"/>
          <w:u w:color="1F497D"/>
          <w:lang w:val="en-GB"/>
        </w:rPr>
      </w:pPr>
    </w:p>
    <w:p w:rsidR="003E762A" w:rsidRPr="000646A3" w:rsidRDefault="003E762A" w:rsidP="000646A3">
      <w:pPr>
        <w:pStyle w:val="Caption"/>
        <w:keepNext/>
        <w:rPr>
          <w:rFonts w:ascii="Calibri" w:hAnsi="Calibri" w:cs="Calibri"/>
          <w:i w:val="0"/>
          <w:color w:val="auto"/>
          <w:sz w:val="20"/>
          <w:szCs w:val="22"/>
        </w:rPr>
      </w:pPr>
      <w:bookmarkStart w:id="0" w:name="_Ref36722441"/>
      <w:r w:rsidRPr="000646A3">
        <w:rPr>
          <w:rFonts w:ascii="Calibri" w:hAnsi="Calibri" w:cs="Calibri"/>
          <w:b/>
          <w:i w:val="0"/>
          <w:color w:val="auto"/>
          <w:sz w:val="20"/>
          <w:szCs w:val="22"/>
        </w:rPr>
        <w:lastRenderedPageBreak/>
        <w:t xml:space="preserve">Table </w:t>
      </w:r>
      <w:r w:rsidRPr="000646A3">
        <w:rPr>
          <w:rFonts w:ascii="Calibri" w:hAnsi="Calibri" w:cs="Calibri"/>
          <w:b/>
          <w:i w:val="0"/>
          <w:color w:val="auto"/>
          <w:sz w:val="20"/>
          <w:szCs w:val="22"/>
        </w:rPr>
        <w:fldChar w:fldCharType="begin"/>
      </w:r>
      <w:r w:rsidRPr="000646A3">
        <w:rPr>
          <w:rFonts w:ascii="Calibri" w:hAnsi="Calibri" w:cs="Calibri"/>
          <w:b/>
          <w:i w:val="0"/>
          <w:color w:val="auto"/>
          <w:sz w:val="20"/>
          <w:szCs w:val="22"/>
        </w:rPr>
        <w:instrText xml:space="preserve"> SEQ Table \* ARABIC </w:instrText>
      </w:r>
      <w:r w:rsidRPr="000646A3">
        <w:rPr>
          <w:rFonts w:ascii="Calibri" w:hAnsi="Calibri" w:cs="Calibri"/>
          <w:b/>
          <w:i w:val="0"/>
          <w:color w:val="auto"/>
          <w:sz w:val="20"/>
          <w:szCs w:val="22"/>
        </w:rPr>
        <w:fldChar w:fldCharType="separate"/>
      </w:r>
      <w:r>
        <w:rPr>
          <w:rFonts w:ascii="Calibri" w:hAnsi="Calibri" w:cs="Calibri"/>
          <w:b/>
          <w:i w:val="0"/>
          <w:noProof/>
          <w:color w:val="auto"/>
          <w:sz w:val="20"/>
          <w:szCs w:val="22"/>
        </w:rPr>
        <w:t>1</w:t>
      </w:r>
      <w:r w:rsidRPr="000646A3">
        <w:rPr>
          <w:rFonts w:ascii="Calibri" w:hAnsi="Calibri" w:cs="Calibri"/>
          <w:b/>
          <w:i w:val="0"/>
          <w:color w:val="auto"/>
          <w:sz w:val="20"/>
          <w:szCs w:val="22"/>
        </w:rPr>
        <w:fldChar w:fldCharType="end"/>
      </w:r>
      <w:bookmarkEnd w:id="0"/>
      <w:r w:rsidRPr="000646A3">
        <w:rPr>
          <w:rFonts w:ascii="Calibri" w:hAnsi="Calibri" w:cs="Calibri"/>
          <w:b/>
          <w:i w:val="0"/>
          <w:color w:val="auto"/>
          <w:sz w:val="20"/>
          <w:szCs w:val="22"/>
        </w:rPr>
        <w:t>:</w:t>
      </w:r>
      <w:r w:rsidRPr="000646A3">
        <w:rPr>
          <w:rFonts w:ascii="Calibri" w:hAnsi="Calibri" w:cs="Calibri"/>
          <w:i w:val="0"/>
          <w:color w:val="auto"/>
          <w:sz w:val="20"/>
          <w:szCs w:val="22"/>
        </w:rPr>
        <w:t xml:space="preserve"> Dataset on ten-years monitoring of MSWI bottom ashes in MSWI Plant A in the Canton of Zürich, Switzerland</w:t>
      </w:r>
      <w:r>
        <w:rPr>
          <w:rFonts w:ascii="Calibri" w:hAnsi="Calibri" w:cs="Calibri"/>
          <w:i w:val="0"/>
          <w:color w:val="auto"/>
          <w:sz w:val="20"/>
          <w:szCs w:val="22"/>
        </w:rPr>
        <w:t>.</w:t>
      </w:r>
    </w:p>
    <w:p w:rsidR="003E762A" w:rsidRDefault="003E762A">
      <w:pPr>
        <w:pStyle w:val="Body"/>
        <w:spacing w:after="0"/>
        <w:rPr>
          <w:color w:val="000000" w:themeColor="text1"/>
          <w:u w:color="1F497D"/>
          <w:lang w:val="en-GB"/>
        </w:rPr>
      </w:pPr>
      <w:r w:rsidRPr="00506B78">
        <w:rPr>
          <w:noProof/>
          <w:lang w:val="en-US" w:eastAsia="en-US"/>
        </w:rPr>
        <w:drawing>
          <wp:inline distT="0" distB="0" distL="0" distR="0" wp14:anchorId="1C495EF4" wp14:editId="6241AC9C">
            <wp:extent cx="5943600" cy="657389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6573892"/>
                    </a:xfrm>
                    <a:prstGeom prst="rect">
                      <a:avLst/>
                    </a:prstGeom>
                    <a:noFill/>
                    <a:ln>
                      <a:noFill/>
                    </a:ln>
                  </pic:spPr>
                </pic:pic>
              </a:graphicData>
            </a:graphic>
          </wp:inline>
        </w:drawing>
      </w:r>
    </w:p>
    <w:p w:rsidR="003E762A" w:rsidRDefault="003E762A">
      <w:pPr>
        <w:pStyle w:val="Body"/>
        <w:spacing w:after="0"/>
        <w:rPr>
          <w:color w:val="000000" w:themeColor="text1"/>
          <w:u w:color="1F497D"/>
          <w:lang w:val="en-GB"/>
        </w:rPr>
      </w:pPr>
    </w:p>
    <w:p w:rsidR="003E762A" w:rsidRPr="00284743" w:rsidRDefault="003E762A" w:rsidP="000646A3">
      <w:pPr>
        <w:pStyle w:val="Caption"/>
        <w:keepNext/>
        <w:rPr>
          <w:rFonts w:ascii="Calibri" w:hAnsi="Calibri" w:cs="Calibri"/>
          <w:i w:val="0"/>
          <w:color w:val="auto"/>
          <w:sz w:val="20"/>
        </w:rPr>
      </w:pPr>
      <w:bookmarkStart w:id="1" w:name="_Ref36722448"/>
      <w:r w:rsidRPr="00284743">
        <w:rPr>
          <w:rFonts w:ascii="Calibri" w:hAnsi="Calibri" w:cs="Calibri"/>
          <w:b/>
          <w:i w:val="0"/>
          <w:color w:val="auto"/>
          <w:sz w:val="20"/>
        </w:rPr>
        <w:lastRenderedPageBreak/>
        <w:t xml:space="preserve">Table </w:t>
      </w:r>
      <w:r w:rsidRPr="00284743">
        <w:rPr>
          <w:rFonts w:ascii="Calibri" w:hAnsi="Calibri" w:cs="Calibri"/>
          <w:b/>
          <w:i w:val="0"/>
          <w:color w:val="auto"/>
          <w:sz w:val="20"/>
        </w:rPr>
        <w:fldChar w:fldCharType="begin"/>
      </w:r>
      <w:r w:rsidRPr="00284743">
        <w:rPr>
          <w:rFonts w:ascii="Calibri" w:hAnsi="Calibri" w:cs="Calibri"/>
          <w:b/>
          <w:i w:val="0"/>
          <w:color w:val="auto"/>
          <w:sz w:val="20"/>
        </w:rPr>
        <w:instrText xml:space="preserve"> SEQ Table \* ARABIC </w:instrText>
      </w:r>
      <w:r w:rsidRPr="00284743">
        <w:rPr>
          <w:rFonts w:ascii="Calibri" w:hAnsi="Calibri" w:cs="Calibri"/>
          <w:b/>
          <w:i w:val="0"/>
          <w:color w:val="auto"/>
          <w:sz w:val="20"/>
        </w:rPr>
        <w:fldChar w:fldCharType="separate"/>
      </w:r>
      <w:r>
        <w:rPr>
          <w:rFonts w:ascii="Calibri" w:hAnsi="Calibri" w:cs="Calibri"/>
          <w:b/>
          <w:i w:val="0"/>
          <w:noProof/>
          <w:color w:val="auto"/>
          <w:sz w:val="20"/>
        </w:rPr>
        <w:t>2</w:t>
      </w:r>
      <w:r w:rsidRPr="00284743">
        <w:rPr>
          <w:rFonts w:ascii="Calibri" w:hAnsi="Calibri" w:cs="Calibri"/>
          <w:b/>
          <w:i w:val="0"/>
          <w:color w:val="auto"/>
          <w:sz w:val="20"/>
        </w:rPr>
        <w:fldChar w:fldCharType="end"/>
      </w:r>
      <w:bookmarkEnd w:id="1"/>
      <w:r w:rsidRPr="00284743">
        <w:rPr>
          <w:rFonts w:ascii="Calibri" w:hAnsi="Calibri" w:cs="Calibri"/>
          <w:b/>
          <w:i w:val="0"/>
          <w:color w:val="auto"/>
          <w:sz w:val="20"/>
        </w:rPr>
        <w:t>:</w:t>
      </w:r>
      <w:r w:rsidRPr="00284743">
        <w:rPr>
          <w:rFonts w:ascii="Calibri" w:hAnsi="Calibri" w:cs="Calibri"/>
          <w:i w:val="0"/>
          <w:color w:val="auto"/>
          <w:sz w:val="20"/>
        </w:rPr>
        <w:t xml:space="preserve"> Dataset on ten-years monitoring of MSWI bottom ashes in MSWI Plant B in the Canton of Zürich, Switzerland</w:t>
      </w:r>
      <w:r>
        <w:rPr>
          <w:rFonts w:ascii="Calibri" w:hAnsi="Calibri" w:cs="Calibri"/>
          <w:i w:val="0"/>
          <w:color w:val="auto"/>
          <w:sz w:val="20"/>
        </w:rPr>
        <w:t>.</w:t>
      </w:r>
    </w:p>
    <w:p w:rsidR="003E762A" w:rsidRDefault="003E762A">
      <w:pPr>
        <w:pStyle w:val="Body"/>
        <w:spacing w:after="0"/>
        <w:rPr>
          <w:color w:val="000000" w:themeColor="text1"/>
          <w:u w:color="1F497D"/>
          <w:lang w:val="en-GB"/>
        </w:rPr>
      </w:pPr>
      <w:r w:rsidRPr="00506B78">
        <w:rPr>
          <w:noProof/>
          <w:lang w:val="en-US" w:eastAsia="en-US"/>
        </w:rPr>
        <w:drawing>
          <wp:inline distT="0" distB="0" distL="0" distR="0" wp14:anchorId="4409B8DB" wp14:editId="727BD1DD">
            <wp:extent cx="5943600" cy="65738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6573892"/>
                    </a:xfrm>
                    <a:prstGeom prst="rect">
                      <a:avLst/>
                    </a:prstGeom>
                    <a:noFill/>
                    <a:ln>
                      <a:noFill/>
                    </a:ln>
                  </pic:spPr>
                </pic:pic>
              </a:graphicData>
            </a:graphic>
          </wp:inline>
        </w:drawing>
      </w:r>
    </w:p>
    <w:p w:rsidR="003E762A" w:rsidRDefault="003E762A">
      <w:pPr>
        <w:pStyle w:val="Body"/>
        <w:spacing w:after="0"/>
        <w:rPr>
          <w:color w:val="000000" w:themeColor="text1"/>
          <w:u w:color="1F497D"/>
          <w:lang w:val="en-GB"/>
        </w:rPr>
      </w:pPr>
    </w:p>
    <w:p w:rsidR="003E762A" w:rsidRPr="000646A3" w:rsidRDefault="003E762A" w:rsidP="000646A3">
      <w:pPr>
        <w:pStyle w:val="Caption"/>
        <w:keepNext/>
        <w:rPr>
          <w:rFonts w:ascii="Calibri" w:hAnsi="Calibri" w:cs="Calibri"/>
          <w:i w:val="0"/>
          <w:color w:val="auto"/>
          <w:sz w:val="20"/>
          <w:szCs w:val="20"/>
        </w:rPr>
      </w:pPr>
      <w:bookmarkStart w:id="2" w:name="_Ref36722462"/>
      <w:r w:rsidRPr="000646A3">
        <w:rPr>
          <w:rFonts w:ascii="Calibri" w:hAnsi="Calibri" w:cs="Calibri"/>
          <w:b/>
          <w:i w:val="0"/>
          <w:color w:val="auto"/>
          <w:sz w:val="20"/>
          <w:szCs w:val="20"/>
        </w:rPr>
        <w:lastRenderedPageBreak/>
        <w:t xml:space="preserve">Table </w:t>
      </w:r>
      <w:r w:rsidRPr="000646A3">
        <w:rPr>
          <w:rFonts w:ascii="Calibri" w:hAnsi="Calibri" w:cs="Calibri"/>
          <w:b/>
          <w:i w:val="0"/>
          <w:color w:val="auto"/>
          <w:sz w:val="20"/>
          <w:szCs w:val="20"/>
        </w:rPr>
        <w:fldChar w:fldCharType="begin"/>
      </w:r>
      <w:r w:rsidRPr="000646A3">
        <w:rPr>
          <w:rFonts w:ascii="Calibri" w:hAnsi="Calibri" w:cs="Calibri"/>
          <w:b/>
          <w:i w:val="0"/>
          <w:color w:val="auto"/>
          <w:sz w:val="20"/>
          <w:szCs w:val="20"/>
        </w:rPr>
        <w:instrText xml:space="preserve"> SEQ Table \* ARABIC </w:instrText>
      </w:r>
      <w:r w:rsidRPr="000646A3">
        <w:rPr>
          <w:rFonts w:ascii="Calibri" w:hAnsi="Calibri" w:cs="Calibri"/>
          <w:b/>
          <w:i w:val="0"/>
          <w:color w:val="auto"/>
          <w:sz w:val="20"/>
          <w:szCs w:val="20"/>
        </w:rPr>
        <w:fldChar w:fldCharType="separate"/>
      </w:r>
      <w:r>
        <w:rPr>
          <w:rFonts w:ascii="Calibri" w:hAnsi="Calibri" w:cs="Calibri"/>
          <w:b/>
          <w:i w:val="0"/>
          <w:noProof/>
          <w:color w:val="auto"/>
          <w:sz w:val="20"/>
          <w:szCs w:val="20"/>
        </w:rPr>
        <w:t>3</w:t>
      </w:r>
      <w:r w:rsidRPr="000646A3">
        <w:rPr>
          <w:rFonts w:ascii="Calibri" w:hAnsi="Calibri" w:cs="Calibri"/>
          <w:b/>
          <w:i w:val="0"/>
          <w:color w:val="auto"/>
          <w:sz w:val="20"/>
          <w:szCs w:val="20"/>
        </w:rPr>
        <w:fldChar w:fldCharType="end"/>
      </w:r>
      <w:bookmarkEnd w:id="2"/>
      <w:r w:rsidRPr="000646A3">
        <w:rPr>
          <w:rFonts w:ascii="Calibri" w:hAnsi="Calibri" w:cs="Calibri"/>
          <w:b/>
          <w:i w:val="0"/>
          <w:color w:val="auto"/>
          <w:sz w:val="20"/>
          <w:szCs w:val="20"/>
        </w:rPr>
        <w:t>:</w:t>
      </w:r>
      <w:r>
        <w:rPr>
          <w:rFonts w:ascii="Calibri" w:hAnsi="Calibri" w:cs="Calibri"/>
          <w:i w:val="0"/>
          <w:color w:val="auto"/>
          <w:sz w:val="20"/>
          <w:szCs w:val="20"/>
        </w:rPr>
        <w:t xml:space="preserve"> </w:t>
      </w:r>
      <w:r w:rsidRPr="000646A3">
        <w:rPr>
          <w:rFonts w:ascii="Calibri" w:hAnsi="Calibri" w:cs="Calibri"/>
          <w:i w:val="0"/>
          <w:color w:val="auto"/>
          <w:sz w:val="20"/>
          <w:szCs w:val="20"/>
        </w:rPr>
        <w:t xml:space="preserve">Dataset on ten-years monitoring of MSWI bottom ashes in MSWI Plant </w:t>
      </w:r>
      <w:r>
        <w:rPr>
          <w:rFonts w:ascii="Calibri" w:hAnsi="Calibri" w:cs="Calibri"/>
          <w:i w:val="0"/>
          <w:color w:val="auto"/>
          <w:sz w:val="20"/>
          <w:szCs w:val="20"/>
        </w:rPr>
        <w:t>C</w:t>
      </w:r>
      <w:r w:rsidRPr="000646A3">
        <w:rPr>
          <w:rFonts w:ascii="Calibri" w:hAnsi="Calibri" w:cs="Calibri"/>
          <w:i w:val="0"/>
          <w:color w:val="auto"/>
          <w:sz w:val="20"/>
          <w:szCs w:val="20"/>
        </w:rPr>
        <w:t xml:space="preserve"> in the Canton of Zürich, Switzerland</w:t>
      </w:r>
      <w:r>
        <w:rPr>
          <w:rFonts w:ascii="Calibri" w:hAnsi="Calibri" w:cs="Calibri"/>
          <w:i w:val="0"/>
          <w:color w:val="auto"/>
          <w:sz w:val="20"/>
          <w:szCs w:val="20"/>
        </w:rPr>
        <w:t>.</w:t>
      </w:r>
    </w:p>
    <w:p w:rsidR="003E762A" w:rsidRDefault="003E762A">
      <w:pPr>
        <w:pStyle w:val="Body"/>
        <w:spacing w:after="0"/>
        <w:rPr>
          <w:lang w:val="en-GB"/>
        </w:rPr>
      </w:pPr>
      <w:r w:rsidRPr="00506B78">
        <w:rPr>
          <w:noProof/>
          <w:lang w:val="en-US" w:eastAsia="en-US"/>
        </w:rPr>
        <w:drawing>
          <wp:inline distT="0" distB="0" distL="0" distR="0" wp14:anchorId="5B8BD982" wp14:editId="43907117">
            <wp:extent cx="5943600" cy="657389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6573892"/>
                    </a:xfrm>
                    <a:prstGeom prst="rect">
                      <a:avLst/>
                    </a:prstGeom>
                    <a:noFill/>
                    <a:ln>
                      <a:noFill/>
                    </a:ln>
                  </pic:spPr>
                </pic:pic>
              </a:graphicData>
            </a:graphic>
          </wp:inline>
        </w:drawing>
      </w:r>
    </w:p>
    <w:p w:rsidR="003E762A" w:rsidRDefault="003E762A">
      <w:pPr>
        <w:pStyle w:val="Body"/>
        <w:spacing w:after="0"/>
        <w:rPr>
          <w:lang w:val="en-GB"/>
        </w:rPr>
      </w:pPr>
    </w:p>
    <w:p w:rsidR="003E762A" w:rsidRPr="000646A3" w:rsidRDefault="003E762A" w:rsidP="000646A3">
      <w:pPr>
        <w:pStyle w:val="Caption"/>
        <w:keepNext/>
        <w:rPr>
          <w:rFonts w:ascii="Calibri" w:hAnsi="Calibri" w:cs="Calibri"/>
          <w:i w:val="0"/>
          <w:color w:val="auto"/>
          <w:sz w:val="20"/>
          <w:szCs w:val="20"/>
        </w:rPr>
      </w:pPr>
      <w:bookmarkStart w:id="3" w:name="_Ref36722466"/>
      <w:r w:rsidRPr="000646A3">
        <w:rPr>
          <w:rFonts w:ascii="Calibri" w:hAnsi="Calibri" w:cs="Calibri"/>
          <w:b/>
          <w:i w:val="0"/>
          <w:color w:val="auto"/>
          <w:sz w:val="20"/>
          <w:szCs w:val="20"/>
        </w:rPr>
        <w:lastRenderedPageBreak/>
        <w:t xml:space="preserve">Table </w:t>
      </w:r>
      <w:r w:rsidRPr="000646A3">
        <w:rPr>
          <w:rFonts w:ascii="Calibri" w:hAnsi="Calibri" w:cs="Calibri"/>
          <w:b/>
          <w:i w:val="0"/>
          <w:color w:val="auto"/>
          <w:sz w:val="20"/>
          <w:szCs w:val="20"/>
        </w:rPr>
        <w:fldChar w:fldCharType="begin"/>
      </w:r>
      <w:r w:rsidRPr="000646A3">
        <w:rPr>
          <w:rFonts w:ascii="Calibri" w:hAnsi="Calibri" w:cs="Calibri"/>
          <w:b/>
          <w:i w:val="0"/>
          <w:color w:val="auto"/>
          <w:sz w:val="20"/>
          <w:szCs w:val="20"/>
        </w:rPr>
        <w:instrText xml:space="preserve"> SEQ Table \* ARABIC </w:instrText>
      </w:r>
      <w:r w:rsidRPr="000646A3">
        <w:rPr>
          <w:rFonts w:ascii="Calibri" w:hAnsi="Calibri" w:cs="Calibri"/>
          <w:b/>
          <w:i w:val="0"/>
          <w:color w:val="auto"/>
          <w:sz w:val="20"/>
          <w:szCs w:val="20"/>
        </w:rPr>
        <w:fldChar w:fldCharType="separate"/>
      </w:r>
      <w:r>
        <w:rPr>
          <w:rFonts w:ascii="Calibri" w:hAnsi="Calibri" w:cs="Calibri"/>
          <w:b/>
          <w:i w:val="0"/>
          <w:noProof/>
          <w:color w:val="auto"/>
          <w:sz w:val="20"/>
          <w:szCs w:val="20"/>
        </w:rPr>
        <w:t>4</w:t>
      </w:r>
      <w:r w:rsidRPr="000646A3">
        <w:rPr>
          <w:rFonts w:ascii="Calibri" w:hAnsi="Calibri" w:cs="Calibri"/>
          <w:b/>
          <w:i w:val="0"/>
          <w:color w:val="auto"/>
          <w:sz w:val="20"/>
          <w:szCs w:val="20"/>
        </w:rPr>
        <w:fldChar w:fldCharType="end"/>
      </w:r>
      <w:bookmarkEnd w:id="3"/>
      <w:r w:rsidRPr="000646A3">
        <w:rPr>
          <w:rFonts w:ascii="Calibri" w:hAnsi="Calibri" w:cs="Calibri"/>
          <w:b/>
          <w:i w:val="0"/>
          <w:color w:val="auto"/>
          <w:sz w:val="20"/>
          <w:szCs w:val="20"/>
        </w:rPr>
        <w:t>:</w:t>
      </w:r>
      <w:r>
        <w:rPr>
          <w:rFonts w:ascii="Calibri" w:hAnsi="Calibri" w:cs="Calibri"/>
          <w:i w:val="0"/>
          <w:color w:val="auto"/>
          <w:sz w:val="20"/>
          <w:szCs w:val="20"/>
        </w:rPr>
        <w:t xml:space="preserve"> </w:t>
      </w:r>
      <w:r w:rsidRPr="000646A3">
        <w:rPr>
          <w:rFonts w:ascii="Calibri" w:hAnsi="Calibri" w:cs="Calibri"/>
          <w:i w:val="0"/>
          <w:color w:val="auto"/>
          <w:sz w:val="20"/>
          <w:szCs w:val="20"/>
        </w:rPr>
        <w:t xml:space="preserve">Dataset on ten-years monitoring of MSWI bottom ashes in MSWI Plant </w:t>
      </w:r>
      <w:r>
        <w:rPr>
          <w:rFonts w:ascii="Calibri" w:hAnsi="Calibri" w:cs="Calibri"/>
          <w:i w:val="0"/>
          <w:color w:val="auto"/>
          <w:sz w:val="20"/>
          <w:szCs w:val="20"/>
        </w:rPr>
        <w:t>D</w:t>
      </w:r>
      <w:r w:rsidRPr="000646A3">
        <w:rPr>
          <w:rFonts w:ascii="Calibri" w:hAnsi="Calibri" w:cs="Calibri"/>
          <w:i w:val="0"/>
          <w:color w:val="auto"/>
          <w:sz w:val="20"/>
          <w:szCs w:val="20"/>
        </w:rPr>
        <w:t xml:space="preserve"> in the Canton of Zürich, Switzerland</w:t>
      </w:r>
      <w:r>
        <w:rPr>
          <w:rFonts w:ascii="Calibri" w:hAnsi="Calibri" w:cs="Calibri"/>
          <w:i w:val="0"/>
          <w:color w:val="auto"/>
          <w:sz w:val="20"/>
          <w:szCs w:val="20"/>
        </w:rPr>
        <w:t>.</w:t>
      </w:r>
    </w:p>
    <w:p w:rsidR="003E762A" w:rsidRDefault="003E762A">
      <w:pPr>
        <w:pStyle w:val="Body"/>
        <w:spacing w:after="0"/>
        <w:rPr>
          <w:lang w:val="en-GB"/>
        </w:rPr>
      </w:pPr>
      <w:r w:rsidRPr="00506B78">
        <w:rPr>
          <w:noProof/>
          <w:lang w:val="en-US" w:eastAsia="en-US"/>
        </w:rPr>
        <w:drawing>
          <wp:inline distT="0" distB="0" distL="0" distR="0" wp14:anchorId="20D402DD" wp14:editId="137486DC">
            <wp:extent cx="5943600" cy="657389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6573892"/>
                    </a:xfrm>
                    <a:prstGeom prst="rect">
                      <a:avLst/>
                    </a:prstGeom>
                    <a:noFill/>
                    <a:ln>
                      <a:noFill/>
                    </a:ln>
                  </pic:spPr>
                </pic:pic>
              </a:graphicData>
            </a:graphic>
          </wp:inline>
        </w:drawing>
      </w:r>
    </w:p>
    <w:p w:rsidR="003E762A" w:rsidRDefault="003E762A">
      <w:pPr>
        <w:pStyle w:val="Body"/>
        <w:spacing w:after="0"/>
        <w:rPr>
          <w:lang w:val="en-GB"/>
        </w:rPr>
      </w:pPr>
    </w:p>
    <w:p w:rsidR="003E762A" w:rsidRPr="000646A3" w:rsidRDefault="003E762A" w:rsidP="000646A3">
      <w:pPr>
        <w:pStyle w:val="Caption"/>
        <w:keepNext/>
        <w:rPr>
          <w:rFonts w:ascii="Calibri" w:hAnsi="Calibri" w:cs="Calibri"/>
          <w:i w:val="0"/>
          <w:color w:val="auto"/>
          <w:sz w:val="20"/>
          <w:szCs w:val="20"/>
        </w:rPr>
      </w:pPr>
      <w:bookmarkStart w:id="4" w:name="_Ref36722470"/>
      <w:r w:rsidRPr="000646A3">
        <w:rPr>
          <w:rFonts w:ascii="Calibri" w:hAnsi="Calibri" w:cs="Calibri"/>
          <w:b/>
          <w:i w:val="0"/>
          <w:color w:val="auto"/>
          <w:sz w:val="20"/>
          <w:szCs w:val="20"/>
        </w:rPr>
        <w:lastRenderedPageBreak/>
        <w:t xml:space="preserve">Table </w:t>
      </w:r>
      <w:r w:rsidRPr="000646A3">
        <w:rPr>
          <w:rFonts w:ascii="Calibri" w:hAnsi="Calibri" w:cs="Calibri"/>
          <w:b/>
          <w:i w:val="0"/>
          <w:color w:val="auto"/>
          <w:sz w:val="20"/>
          <w:szCs w:val="20"/>
        </w:rPr>
        <w:fldChar w:fldCharType="begin"/>
      </w:r>
      <w:r w:rsidRPr="000646A3">
        <w:rPr>
          <w:rFonts w:ascii="Calibri" w:hAnsi="Calibri" w:cs="Calibri"/>
          <w:b/>
          <w:i w:val="0"/>
          <w:color w:val="auto"/>
          <w:sz w:val="20"/>
          <w:szCs w:val="20"/>
        </w:rPr>
        <w:instrText xml:space="preserve"> SEQ Table \* ARABIC </w:instrText>
      </w:r>
      <w:r w:rsidRPr="000646A3">
        <w:rPr>
          <w:rFonts w:ascii="Calibri" w:hAnsi="Calibri" w:cs="Calibri"/>
          <w:b/>
          <w:i w:val="0"/>
          <w:color w:val="auto"/>
          <w:sz w:val="20"/>
          <w:szCs w:val="20"/>
        </w:rPr>
        <w:fldChar w:fldCharType="separate"/>
      </w:r>
      <w:r>
        <w:rPr>
          <w:rFonts w:ascii="Calibri" w:hAnsi="Calibri" w:cs="Calibri"/>
          <w:b/>
          <w:i w:val="0"/>
          <w:noProof/>
          <w:color w:val="auto"/>
          <w:sz w:val="20"/>
          <w:szCs w:val="20"/>
        </w:rPr>
        <w:t>5</w:t>
      </w:r>
      <w:r w:rsidRPr="000646A3">
        <w:rPr>
          <w:rFonts w:ascii="Calibri" w:hAnsi="Calibri" w:cs="Calibri"/>
          <w:b/>
          <w:i w:val="0"/>
          <w:color w:val="auto"/>
          <w:sz w:val="20"/>
          <w:szCs w:val="20"/>
        </w:rPr>
        <w:fldChar w:fldCharType="end"/>
      </w:r>
      <w:bookmarkEnd w:id="4"/>
      <w:r w:rsidRPr="000646A3">
        <w:rPr>
          <w:rFonts w:ascii="Calibri" w:hAnsi="Calibri" w:cs="Calibri"/>
          <w:b/>
          <w:i w:val="0"/>
          <w:color w:val="auto"/>
          <w:sz w:val="20"/>
          <w:szCs w:val="20"/>
        </w:rPr>
        <w:t>:</w:t>
      </w:r>
      <w:r>
        <w:rPr>
          <w:rFonts w:ascii="Calibri" w:hAnsi="Calibri" w:cs="Calibri"/>
          <w:i w:val="0"/>
          <w:color w:val="auto"/>
          <w:sz w:val="20"/>
          <w:szCs w:val="20"/>
        </w:rPr>
        <w:t xml:space="preserve"> </w:t>
      </w:r>
      <w:r w:rsidRPr="000646A3">
        <w:rPr>
          <w:rFonts w:ascii="Calibri" w:hAnsi="Calibri" w:cs="Calibri"/>
          <w:i w:val="0"/>
          <w:color w:val="auto"/>
          <w:sz w:val="20"/>
          <w:szCs w:val="20"/>
        </w:rPr>
        <w:t xml:space="preserve">Dataset on ten-years monitoring of MSWI bottom ashes in MSWI Plant </w:t>
      </w:r>
      <w:r>
        <w:rPr>
          <w:rFonts w:ascii="Calibri" w:hAnsi="Calibri" w:cs="Calibri"/>
          <w:i w:val="0"/>
          <w:color w:val="auto"/>
          <w:sz w:val="20"/>
          <w:szCs w:val="20"/>
        </w:rPr>
        <w:t>E</w:t>
      </w:r>
      <w:r w:rsidRPr="000646A3">
        <w:rPr>
          <w:rFonts w:ascii="Calibri" w:hAnsi="Calibri" w:cs="Calibri"/>
          <w:i w:val="0"/>
          <w:color w:val="auto"/>
          <w:sz w:val="20"/>
          <w:szCs w:val="20"/>
        </w:rPr>
        <w:t xml:space="preserve"> in the Canton of Zürich, Switzerland</w:t>
      </w:r>
      <w:r>
        <w:rPr>
          <w:rFonts w:ascii="Calibri" w:hAnsi="Calibri" w:cs="Calibri"/>
          <w:i w:val="0"/>
          <w:color w:val="auto"/>
          <w:sz w:val="20"/>
          <w:szCs w:val="20"/>
        </w:rPr>
        <w:t>.</w:t>
      </w:r>
    </w:p>
    <w:p w:rsidR="003E762A" w:rsidRDefault="003E762A">
      <w:pPr>
        <w:pStyle w:val="Body"/>
        <w:spacing w:after="0"/>
        <w:rPr>
          <w:lang w:val="en-GB"/>
        </w:rPr>
      </w:pPr>
      <w:r w:rsidRPr="00506B78">
        <w:rPr>
          <w:noProof/>
          <w:lang w:val="en-US" w:eastAsia="en-US"/>
        </w:rPr>
        <w:drawing>
          <wp:inline distT="0" distB="0" distL="0" distR="0" wp14:anchorId="03154E8D" wp14:editId="136219BC">
            <wp:extent cx="5943600" cy="657389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6573892"/>
                    </a:xfrm>
                    <a:prstGeom prst="rect">
                      <a:avLst/>
                    </a:prstGeom>
                    <a:noFill/>
                    <a:ln>
                      <a:noFill/>
                    </a:ln>
                  </pic:spPr>
                </pic:pic>
              </a:graphicData>
            </a:graphic>
          </wp:inline>
        </w:drawing>
      </w:r>
    </w:p>
    <w:p w:rsidR="003E762A" w:rsidRDefault="003E762A">
      <w:pPr>
        <w:pStyle w:val="Body"/>
        <w:spacing w:after="0"/>
        <w:rPr>
          <w:lang w:val="en-GB"/>
        </w:rPr>
      </w:pPr>
    </w:p>
    <w:p w:rsidR="003E762A" w:rsidRPr="000646A3" w:rsidRDefault="003E762A" w:rsidP="000646A3">
      <w:pPr>
        <w:pStyle w:val="Caption"/>
        <w:keepNext/>
        <w:rPr>
          <w:rFonts w:ascii="Calibri" w:hAnsi="Calibri" w:cs="Calibri"/>
          <w:i w:val="0"/>
          <w:color w:val="auto"/>
          <w:sz w:val="20"/>
          <w:szCs w:val="20"/>
        </w:rPr>
      </w:pPr>
      <w:bookmarkStart w:id="5" w:name="_Ref36722475"/>
      <w:r w:rsidRPr="000646A3">
        <w:rPr>
          <w:rFonts w:ascii="Calibri" w:hAnsi="Calibri" w:cs="Calibri"/>
          <w:b/>
          <w:i w:val="0"/>
          <w:color w:val="auto"/>
          <w:sz w:val="20"/>
          <w:szCs w:val="20"/>
        </w:rPr>
        <w:lastRenderedPageBreak/>
        <w:t xml:space="preserve">Table </w:t>
      </w:r>
      <w:r w:rsidRPr="000646A3">
        <w:rPr>
          <w:rFonts w:ascii="Calibri" w:hAnsi="Calibri" w:cs="Calibri"/>
          <w:b/>
          <w:i w:val="0"/>
          <w:color w:val="auto"/>
          <w:sz w:val="20"/>
          <w:szCs w:val="20"/>
        </w:rPr>
        <w:fldChar w:fldCharType="begin"/>
      </w:r>
      <w:r w:rsidRPr="000646A3">
        <w:rPr>
          <w:rFonts w:ascii="Calibri" w:hAnsi="Calibri" w:cs="Calibri"/>
          <w:b/>
          <w:i w:val="0"/>
          <w:color w:val="auto"/>
          <w:sz w:val="20"/>
          <w:szCs w:val="20"/>
        </w:rPr>
        <w:instrText xml:space="preserve"> SEQ Table \* ARABIC </w:instrText>
      </w:r>
      <w:r w:rsidRPr="000646A3">
        <w:rPr>
          <w:rFonts w:ascii="Calibri" w:hAnsi="Calibri" w:cs="Calibri"/>
          <w:b/>
          <w:i w:val="0"/>
          <w:color w:val="auto"/>
          <w:sz w:val="20"/>
          <w:szCs w:val="20"/>
        </w:rPr>
        <w:fldChar w:fldCharType="separate"/>
      </w:r>
      <w:r>
        <w:rPr>
          <w:rFonts w:ascii="Calibri" w:hAnsi="Calibri" w:cs="Calibri"/>
          <w:b/>
          <w:i w:val="0"/>
          <w:noProof/>
          <w:color w:val="auto"/>
          <w:sz w:val="20"/>
          <w:szCs w:val="20"/>
        </w:rPr>
        <w:t>6</w:t>
      </w:r>
      <w:r w:rsidRPr="000646A3">
        <w:rPr>
          <w:rFonts w:ascii="Calibri" w:hAnsi="Calibri" w:cs="Calibri"/>
          <w:b/>
          <w:i w:val="0"/>
          <w:color w:val="auto"/>
          <w:sz w:val="20"/>
          <w:szCs w:val="20"/>
        </w:rPr>
        <w:fldChar w:fldCharType="end"/>
      </w:r>
      <w:bookmarkEnd w:id="5"/>
      <w:r w:rsidRPr="000646A3">
        <w:rPr>
          <w:rFonts w:ascii="Calibri" w:hAnsi="Calibri" w:cs="Calibri"/>
          <w:b/>
          <w:i w:val="0"/>
          <w:color w:val="auto"/>
          <w:sz w:val="20"/>
          <w:szCs w:val="20"/>
        </w:rPr>
        <w:t>:</w:t>
      </w:r>
      <w:r>
        <w:rPr>
          <w:rFonts w:ascii="Calibri" w:hAnsi="Calibri" w:cs="Calibri"/>
          <w:i w:val="0"/>
          <w:color w:val="auto"/>
          <w:sz w:val="20"/>
          <w:szCs w:val="20"/>
        </w:rPr>
        <w:t xml:space="preserve"> </w:t>
      </w:r>
      <w:r w:rsidRPr="000646A3">
        <w:rPr>
          <w:rFonts w:ascii="Calibri" w:hAnsi="Calibri" w:cs="Calibri"/>
          <w:i w:val="0"/>
          <w:color w:val="auto"/>
          <w:sz w:val="20"/>
          <w:szCs w:val="20"/>
        </w:rPr>
        <w:t xml:space="preserve">Dataset on ten-years monitoring of MSWI bottom ashes in MSWI Plant </w:t>
      </w:r>
      <w:r>
        <w:rPr>
          <w:rFonts w:ascii="Calibri" w:hAnsi="Calibri" w:cs="Calibri"/>
          <w:i w:val="0"/>
          <w:color w:val="auto"/>
          <w:sz w:val="20"/>
          <w:szCs w:val="20"/>
        </w:rPr>
        <w:t>F</w:t>
      </w:r>
      <w:r w:rsidRPr="000646A3">
        <w:rPr>
          <w:rFonts w:ascii="Calibri" w:hAnsi="Calibri" w:cs="Calibri"/>
          <w:i w:val="0"/>
          <w:color w:val="auto"/>
          <w:sz w:val="20"/>
          <w:szCs w:val="20"/>
        </w:rPr>
        <w:t xml:space="preserve"> in the Canton of Zürich, Switzerland</w:t>
      </w:r>
      <w:r>
        <w:rPr>
          <w:rFonts w:ascii="Calibri" w:hAnsi="Calibri" w:cs="Calibri"/>
          <w:i w:val="0"/>
          <w:color w:val="auto"/>
          <w:sz w:val="20"/>
          <w:szCs w:val="20"/>
        </w:rPr>
        <w:t>.</w:t>
      </w:r>
    </w:p>
    <w:p w:rsidR="003E762A" w:rsidRDefault="003E762A" w:rsidP="00834086">
      <w:pPr>
        <w:pStyle w:val="Body"/>
        <w:spacing w:after="0"/>
        <w:rPr>
          <w:sz w:val="24"/>
          <w:szCs w:val="24"/>
          <w:lang w:val="en-GB"/>
        </w:rPr>
      </w:pPr>
      <w:r w:rsidRPr="00506B78">
        <w:rPr>
          <w:noProof/>
          <w:lang w:val="en-US" w:eastAsia="en-US"/>
        </w:rPr>
        <w:drawing>
          <wp:inline distT="0" distB="0" distL="0" distR="0" wp14:anchorId="730BA8E8" wp14:editId="49ADC93B">
            <wp:extent cx="5943600" cy="657389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6573892"/>
                    </a:xfrm>
                    <a:prstGeom prst="rect">
                      <a:avLst/>
                    </a:prstGeom>
                    <a:noFill/>
                    <a:ln>
                      <a:noFill/>
                    </a:ln>
                  </pic:spPr>
                </pic:pic>
              </a:graphicData>
            </a:graphic>
          </wp:inline>
        </w:drawing>
      </w:r>
    </w:p>
    <w:p w:rsidR="003E762A" w:rsidRPr="00B37B08" w:rsidRDefault="003E762A" w:rsidP="00834086">
      <w:pPr>
        <w:pStyle w:val="Body"/>
        <w:spacing w:after="0"/>
        <w:rPr>
          <w:szCs w:val="24"/>
          <w:lang w:val="en-GB"/>
        </w:rPr>
      </w:pPr>
    </w:p>
    <w:p w:rsidR="003E762A" w:rsidRPr="00834086" w:rsidRDefault="003E762A" w:rsidP="00834086">
      <w:pPr>
        <w:pStyle w:val="Body"/>
        <w:spacing w:after="0"/>
        <w:rPr>
          <w:lang w:val="en-GB"/>
        </w:rPr>
      </w:pPr>
      <w:r>
        <w:rPr>
          <w:sz w:val="24"/>
          <w:szCs w:val="24"/>
          <w:lang w:val="en-GB"/>
        </w:rPr>
        <w:br w:type="page"/>
      </w:r>
    </w:p>
    <w:p w:rsidR="003E762A" w:rsidRPr="00704CB9" w:rsidRDefault="003E762A">
      <w:pPr>
        <w:pStyle w:val="Body"/>
        <w:spacing w:after="0"/>
        <w:rPr>
          <w:b/>
          <w:bCs/>
          <w:sz w:val="24"/>
          <w:szCs w:val="24"/>
          <w:lang w:val="en-GB"/>
        </w:rPr>
      </w:pPr>
      <w:r w:rsidRPr="00704CB9">
        <w:rPr>
          <w:b/>
          <w:bCs/>
          <w:sz w:val="24"/>
          <w:szCs w:val="24"/>
          <w:lang w:val="en-GB"/>
        </w:rPr>
        <w:lastRenderedPageBreak/>
        <w:t>Experimental Design, Materials, and Methods</w:t>
      </w:r>
    </w:p>
    <w:p w:rsidR="003E762A" w:rsidRPr="00FC7E74" w:rsidRDefault="003E762A" w:rsidP="0082545E">
      <w:pPr>
        <w:pStyle w:val="Body"/>
        <w:jc w:val="both"/>
        <w:rPr>
          <w:color w:val="auto"/>
          <w:u w:color="1F497D"/>
          <w:lang w:val="en-GB"/>
        </w:rPr>
      </w:pPr>
      <w:r w:rsidRPr="00704CB9">
        <w:rPr>
          <w:color w:val="auto"/>
          <w:u w:color="1F497D"/>
          <w:lang w:val="en-GB"/>
        </w:rPr>
        <w:t>Sampling campaigns were performed from 2008–2018 generally on a four month interval at all six MSWI pla</w:t>
      </w:r>
      <w:r w:rsidRPr="00FC7E74">
        <w:rPr>
          <w:color w:val="auto"/>
          <w:u w:color="1F497D"/>
          <w:lang w:val="en-GB"/>
        </w:rPr>
        <w:t xml:space="preserve">nts with identical sampling procedure. During selected months, </w:t>
      </w:r>
      <w:r>
        <w:rPr>
          <w:color w:val="auto"/>
          <w:u w:color="1F497D"/>
          <w:lang w:val="en-GB"/>
        </w:rPr>
        <w:t>at least 20 sub-samples</w:t>
      </w:r>
      <w:r w:rsidRPr="002A6D26">
        <w:rPr>
          <w:color w:val="auto"/>
          <w:u w:color="1F497D"/>
          <w:lang w:val="en-GB"/>
        </w:rPr>
        <w:t xml:space="preserve"> of </w:t>
      </w:r>
      <w:r w:rsidRPr="00FC7E74">
        <w:rPr>
          <w:rFonts w:ascii="Times New Roman" w:hAnsi="Times New Roman" w:cs="Times New Roman"/>
          <w:color w:val="auto"/>
          <w:u w:color="1F497D"/>
          <w:lang w:val="en-GB"/>
        </w:rPr>
        <w:t>~</w:t>
      </w:r>
      <w:r w:rsidRPr="00FC7E74">
        <w:rPr>
          <w:color w:val="auto"/>
          <w:u w:color="1F497D"/>
          <w:lang w:val="en-GB"/>
        </w:rPr>
        <w:t xml:space="preserve">12 kg of untreated bottom ash </w:t>
      </w:r>
      <w:proofErr w:type="gramStart"/>
      <w:r w:rsidRPr="00FC7E74">
        <w:rPr>
          <w:color w:val="auto"/>
          <w:u w:color="1F497D"/>
          <w:lang w:val="en-GB"/>
        </w:rPr>
        <w:t>have been sampled</w:t>
      </w:r>
      <w:proofErr w:type="gramEnd"/>
      <w:r w:rsidRPr="00FC7E74">
        <w:rPr>
          <w:color w:val="auto"/>
          <w:u w:color="1F497D"/>
          <w:lang w:val="en-GB"/>
        </w:rPr>
        <w:t xml:space="preserve"> </w:t>
      </w:r>
      <w:r>
        <w:rPr>
          <w:color w:val="auto"/>
          <w:u w:color="1F497D"/>
          <w:lang w:val="en-GB"/>
        </w:rPr>
        <w:t>on working days</w:t>
      </w:r>
      <w:r w:rsidRPr="00FC7E74">
        <w:rPr>
          <w:color w:val="auto"/>
          <w:u w:color="1F497D"/>
          <w:lang w:val="en-GB"/>
        </w:rPr>
        <w:t xml:space="preserve"> over all furnace lines</w:t>
      </w:r>
      <w:r>
        <w:rPr>
          <w:color w:val="auto"/>
          <w:u w:color="1F497D"/>
          <w:lang w:val="en-GB"/>
        </w:rPr>
        <w:t>.</w:t>
      </w:r>
      <w:r w:rsidRPr="00FC7E74">
        <w:rPr>
          <w:color w:val="auto"/>
          <w:u w:color="1F497D"/>
          <w:lang w:val="en-GB"/>
        </w:rPr>
        <w:t xml:space="preserve"> Samples were collected on the conveyor belt directly after wet or dry discharge and stored in an </w:t>
      </w:r>
      <w:proofErr w:type="gramStart"/>
      <w:r w:rsidRPr="00FC7E74">
        <w:rPr>
          <w:color w:val="auto"/>
          <w:u w:color="1F497D"/>
          <w:lang w:val="en-GB"/>
        </w:rPr>
        <w:t>air-tight</w:t>
      </w:r>
      <w:proofErr w:type="gramEnd"/>
      <w:r w:rsidRPr="00FC7E74">
        <w:rPr>
          <w:color w:val="auto"/>
          <w:u w:color="1F497D"/>
          <w:lang w:val="en-GB"/>
        </w:rPr>
        <w:t xml:space="preserve"> container. At the end of the month, this composite sample has been homogenised and split into two representative samples of </w:t>
      </w:r>
      <w:r w:rsidRPr="00FC7E74">
        <w:rPr>
          <w:rFonts w:ascii="Times New Roman" w:hAnsi="Times New Roman" w:cs="Times New Roman"/>
          <w:color w:val="auto"/>
          <w:u w:color="1F497D"/>
          <w:lang w:val="en-GB"/>
        </w:rPr>
        <w:t>~</w:t>
      </w:r>
      <w:r w:rsidRPr="00FC7E74">
        <w:rPr>
          <w:color w:val="auto"/>
          <w:u w:color="1F497D"/>
          <w:lang w:val="en-GB"/>
        </w:rPr>
        <w:t xml:space="preserve">12 kg. One composite-sample </w:t>
      </w:r>
      <w:proofErr w:type="gramStart"/>
      <w:r w:rsidRPr="00FC7E74">
        <w:rPr>
          <w:color w:val="auto"/>
          <w:u w:color="1F497D"/>
          <w:lang w:val="en-GB"/>
        </w:rPr>
        <w:t>was retained</w:t>
      </w:r>
      <w:proofErr w:type="gramEnd"/>
      <w:r w:rsidRPr="00FC7E74">
        <w:rPr>
          <w:color w:val="auto"/>
          <w:u w:color="1F497D"/>
          <w:lang w:val="en-GB"/>
        </w:rPr>
        <w:t xml:space="preserve">, while the other </w:t>
      </w:r>
      <w:r>
        <w:rPr>
          <w:color w:val="auto"/>
          <w:u w:color="1F497D"/>
          <w:lang w:val="en-GB"/>
        </w:rPr>
        <w:t xml:space="preserve">was </w:t>
      </w:r>
      <w:r w:rsidRPr="00FC7E74">
        <w:rPr>
          <w:color w:val="auto"/>
          <w:u w:color="1F497D"/>
          <w:lang w:val="en-GB"/>
        </w:rPr>
        <w:t xml:space="preserve">split in two parts, which were used for (1) solid chemical analysis and (2) batch eluate tests. The preparation of the material for these two purposes </w:t>
      </w:r>
      <w:proofErr w:type="gramStart"/>
      <w:r w:rsidRPr="00FC7E74">
        <w:rPr>
          <w:color w:val="auto"/>
          <w:u w:color="1F497D"/>
          <w:lang w:val="en-GB"/>
        </w:rPr>
        <w:t>was performed</w:t>
      </w:r>
      <w:proofErr w:type="gramEnd"/>
      <w:r w:rsidRPr="00FC7E74">
        <w:rPr>
          <w:color w:val="auto"/>
          <w:u w:color="1F497D"/>
          <w:lang w:val="en-GB"/>
        </w:rPr>
        <w:t xml:space="preserve"> differently: (1) the material was dried at 105°C and subsequently crushed to a grain size &lt;1 mm, while metals and unburnt material were manually separated.</w:t>
      </w:r>
      <w:r>
        <w:rPr>
          <w:color w:val="auto"/>
          <w:u w:color="1F497D"/>
          <w:lang w:val="en-GB"/>
        </w:rPr>
        <w:t xml:space="preserve"> In an additional step</w:t>
      </w:r>
      <w:r w:rsidRPr="00FC7E74">
        <w:rPr>
          <w:color w:val="auto"/>
          <w:u w:color="1F497D"/>
          <w:lang w:val="en-GB"/>
        </w:rPr>
        <w:t xml:space="preserve"> </w:t>
      </w:r>
      <w:r>
        <w:rPr>
          <w:color w:val="auto"/>
          <w:u w:color="1F497D"/>
          <w:lang w:val="en-GB"/>
        </w:rPr>
        <w:t>the material was milled to &lt;0.1 mm using a p</w:t>
      </w:r>
      <w:r w:rsidRPr="00CF4708">
        <w:rPr>
          <w:color w:val="auto"/>
          <w:u w:color="1F497D"/>
          <w:lang w:val="en-GB"/>
        </w:rPr>
        <w:t xml:space="preserve">lanetary </w:t>
      </w:r>
      <w:r>
        <w:rPr>
          <w:color w:val="auto"/>
          <w:u w:color="1F497D"/>
          <w:lang w:val="en-GB"/>
        </w:rPr>
        <w:t>ball m</w:t>
      </w:r>
      <w:r w:rsidRPr="00CF4708">
        <w:rPr>
          <w:color w:val="auto"/>
          <w:u w:color="1F497D"/>
          <w:lang w:val="en-GB"/>
        </w:rPr>
        <w:t>ills</w:t>
      </w:r>
      <w:r>
        <w:rPr>
          <w:color w:val="auto"/>
          <w:u w:color="1F497D"/>
          <w:lang w:val="en-GB"/>
        </w:rPr>
        <w:t>.</w:t>
      </w:r>
      <w:r w:rsidRPr="00CF4708">
        <w:rPr>
          <w:color w:val="auto"/>
          <w:u w:color="1F497D"/>
          <w:lang w:val="en-GB"/>
        </w:rPr>
        <w:t xml:space="preserve"> </w:t>
      </w:r>
      <w:r w:rsidRPr="00FC7E74">
        <w:rPr>
          <w:color w:val="auto"/>
          <w:u w:color="1F497D"/>
          <w:lang w:val="en-GB"/>
        </w:rPr>
        <w:t xml:space="preserve">(2) </w:t>
      </w:r>
      <w:r>
        <w:rPr>
          <w:color w:val="auto"/>
          <w:u w:color="1F497D"/>
          <w:lang w:val="en-GB"/>
        </w:rPr>
        <w:t>T</w:t>
      </w:r>
      <w:r w:rsidRPr="00FC7E74">
        <w:rPr>
          <w:color w:val="auto"/>
          <w:u w:color="1F497D"/>
          <w:lang w:val="en-GB"/>
        </w:rPr>
        <w:t>he material was sieved at 5 mm in its original condition, while particles &gt;5 mm were crushed and metals and unburnt material were manually separated. Subsequently the crushed bottom ash was mixed with the material portion &lt;5mm.</w:t>
      </w:r>
    </w:p>
    <w:p w:rsidR="003E762A" w:rsidRPr="006439EA" w:rsidRDefault="003E762A" w:rsidP="0082545E">
      <w:pPr>
        <w:pStyle w:val="Body"/>
        <w:jc w:val="both"/>
        <w:rPr>
          <w:color w:val="000000" w:themeColor="text1"/>
          <w:u w:color="1F497D"/>
          <w:lang w:val="en-GB"/>
        </w:rPr>
      </w:pPr>
      <w:r w:rsidRPr="006439EA">
        <w:rPr>
          <w:color w:val="000000" w:themeColor="text1"/>
          <w:u w:color="1F497D"/>
          <w:lang w:val="en-GB"/>
        </w:rPr>
        <w:t xml:space="preserve">Analysis of the bottom ash </w:t>
      </w:r>
      <w:proofErr w:type="gramStart"/>
      <w:r w:rsidRPr="006439EA">
        <w:rPr>
          <w:color w:val="000000" w:themeColor="text1"/>
          <w:u w:color="1F497D"/>
          <w:lang w:val="en-GB"/>
        </w:rPr>
        <w:t>was based</w:t>
      </w:r>
      <w:proofErr w:type="gramEnd"/>
      <w:r w:rsidRPr="006439EA">
        <w:rPr>
          <w:color w:val="000000" w:themeColor="text1"/>
          <w:u w:color="1F497D"/>
          <w:lang w:val="en-GB"/>
        </w:rPr>
        <w:t xml:space="preserve"> on the criteria of the Swiss Waste Ordinance according to certified procedures </w:t>
      </w:r>
      <w:r>
        <w:rPr>
          <w:noProof/>
          <w:color w:val="000000" w:themeColor="text1"/>
          <w:u w:color="1F497D"/>
          <w:lang w:val="en-GB"/>
        </w:rPr>
        <w:t>[12]</w:t>
      </w:r>
      <w:r w:rsidRPr="006439EA">
        <w:rPr>
          <w:color w:val="000000" w:themeColor="text1"/>
          <w:u w:color="1F497D"/>
          <w:lang w:val="en-GB"/>
        </w:rPr>
        <w:t xml:space="preserve">. Only TOC, being the parameter of </w:t>
      </w:r>
      <w:r>
        <w:rPr>
          <w:color w:val="000000" w:themeColor="text1"/>
          <w:u w:color="1F497D"/>
          <w:lang w:val="en-GB"/>
        </w:rPr>
        <w:t>main interest,</w:t>
      </w:r>
      <w:r w:rsidRPr="006439EA">
        <w:rPr>
          <w:color w:val="000000" w:themeColor="text1"/>
          <w:u w:color="1F497D"/>
          <w:lang w:val="en-GB"/>
        </w:rPr>
        <w:t xml:space="preserve"> was monitored during the entire period from 2008-2018. </w:t>
      </w:r>
      <w:r>
        <w:rPr>
          <w:color w:val="000000" w:themeColor="text1"/>
          <w:u w:color="1F497D"/>
          <w:lang w:val="en-GB"/>
        </w:rPr>
        <w:t>The</w:t>
      </w:r>
      <w:r w:rsidRPr="006439EA">
        <w:rPr>
          <w:color w:val="000000" w:themeColor="text1"/>
          <w:u w:color="1F497D"/>
          <w:lang w:val="en-GB"/>
        </w:rPr>
        <w:t xml:space="preserve"> other C-constituents, N, S, P, heavy metals (As, Cd, Cr, Cu, Ni, </w:t>
      </w:r>
      <w:proofErr w:type="spellStart"/>
      <w:r w:rsidRPr="006439EA">
        <w:rPr>
          <w:color w:val="000000" w:themeColor="text1"/>
          <w:u w:color="1F497D"/>
          <w:lang w:val="en-GB"/>
        </w:rPr>
        <w:t>Pb</w:t>
      </w:r>
      <w:proofErr w:type="spellEnd"/>
      <w:r w:rsidRPr="006439EA">
        <w:rPr>
          <w:color w:val="000000" w:themeColor="text1"/>
          <w:u w:color="1F497D"/>
          <w:lang w:val="en-GB"/>
        </w:rPr>
        <w:t xml:space="preserve">, Sb and Zn) and the eluate composition </w:t>
      </w:r>
      <w:proofErr w:type="gramStart"/>
      <w:r w:rsidRPr="006439EA">
        <w:rPr>
          <w:color w:val="000000" w:themeColor="text1"/>
          <w:u w:color="1F497D"/>
          <w:lang w:val="en-GB"/>
        </w:rPr>
        <w:t>were only measured</w:t>
      </w:r>
      <w:proofErr w:type="gramEnd"/>
      <w:r w:rsidRPr="006439EA">
        <w:rPr>
          <w:color w:val="000000" w:themeColor="text1"/>
          <w:u w:color="1F497D"/>
          <w:lang w:val="en-GB"/>
        </w:rPr>
        <w:t xml:space="preserve"> in the period 2008–2015, OC and EC only from 2011–2013.</w:t>
      </w:r>
      <w:bookmarkStart w:id="6" w:name="_GoBack"/>
      <w:bookmarkEnd w:id="6"/>
    </w:p>
    <w:p w:rsidR="003E762A" w:rsidRPr="000F1AE2" w:rsidRDefault="003E762A" w:rsidP="00646B5D">
      <w:pPr>
        <w:pStyle w:val="Body"/>
        <w:jc w:val="both"/>
        <w:rPr>
          <w:color w:val="000000" w:themeColor="text1"/>
          <w:u w:color="1F497D"/>
          <w:lang w:val="en-GB"/>
        </w:rPr>
      </w:pPr>
      <w:r w:rsidRPr="00646B5D">
        <w:rPr>
          <w:color w:val="000000" w:themeColor="text1"/>
          <w:u w:color="1F497D"/>
          <w:lang w:val="en-GB"/>
        </w:rPr>
        <w:t>For solid chemical analysis test portions of 0.5 g bottom ash &lt;</w:t>
      </w:r>
      <w:r>
        <w:rPr>
          <w:color w:val="000000" w:themeColor="text1"/>
          <w:u w:color="1F497D"/>
          <w:lang w:val="en-GB"/>
        </w:rPr>
        <w:t>0.</w:t>
      </w:r>
      <w:r w:rsidRPr="00646B5D">
        <w:rPr>
          <w:color w:val="000000" w:themeColor="text1"/>
          <w:u w:color="1F497D"/>
          <w:lang w:val="en-GB"/>
        </w:rPr>
        <w:t xml:space="preserve">1 mm were digested with a mixture of 3 ml hydrochloric acid, 8 ml nitric acid and 3 ml hydrofluoric acid. Free hydrofluoric acid </w:t>
      </w:r>
      <w:proofErr w:type="gramStart"/>
      <w:r w:rsidRPr="00646B5D">
        <w:rPr>
          <w:color w:val="000000" w:themeColor="text1"/>
          <w:u w:color="1F497D"/>
          <w:lang w:val="en-GB"/>
        </w:rPr>
        <w:t>was bound</w:t>
      </w:r>
      <w:proofErr w:type="gramEnd"/>
      <w:r w:rsidRPr="00646B5D">
        <w:rPr>
          <w:color w:val="000000" w:themeColor="text1"/>
          <w:u w:color="1F497D"/>
          <w:lang w:val="en-GB"/>
        </w:rPr>
        <w:t xml:space="preserve"> with boric acid and the mixture subsequently heated in three steps to 175°C using a high-pressure microwave system. In this total digest Cr, Cu, Ni, P, </w:t>
      </w:r>
      <w:proofErr w:type="spellStart"/>
      <w:r w:rsidRPr="00646B5D">
        <w:rPr>
          <w:color w:val="000000" w:themeColor="text1"/>
          <w:u w:color="1F497D"/>
          <w:lang w:val="en-GB"/>
        </w:rPr>
        <w:t>Pb</w:t>
      </w:r>
      <w:proofErr w:type="spellEnd"/>
      <w:r w:rsidRPr="00646B5D">
        <w:rPr>
          <w:color w:val="000000" w:themeColor="text1"/>
          <w:u w:color="1F497D"/>
          <w:lang w:val="en-GB"/>
        </w:rPr>
        <w:t xml:space="preserve"> and Zn were determined by inductively coupled plasma optical emission spectroscopy (ICP-OES) (ISO 11885, 2007) </w:t>
      </w:r>
      <w:r>
        <w:rPr>
          <w:noProof/>
          <w:color w:val="000000" w:themeColor="text1"/>
          <w:u w:color="1F497D"/>
          <w:lang w:val="en-GB"/>
        </w:rPr>
        <w:t>[4]</w:t>
      </w:r>
      <w:r w:rsidRPr="00646B5D">
        <w:rPr>
          <w:color w:val="000000" w:themeColor="text1"/>
          <w:u w:color="1F497D"/>
          <w:lang w:val="en-GB"/>
        </w:rPr>
        <w:t xml:space="preserve"> </w:t>
      </w:r>
      <w:r>
        <w:rPr>
          <w:color w:val="000000" w:themeColor="text1"/>
          <w:u w:color="1F497D"/>
          <w:lang w:val="en-GB"/>
        </w:rPr>
        <w:t xml:space="preserve">using a </w:t>
      </w:r>
      <w:proofErr w:type="spellStart"/>
      <w:r w:rsidRPr="00991178">
        <w:rPr>
          <w:color w:val="000000" w:themeColor="text1"/>
          <w:u w:color="1F497D"/>
          <w:lang w:val="en-GB"/>
        </w:rPr>
        <w:t>Thermo</w:t>
      </w:r>
      <w:proofErr w:type="spellEnd"/>
      <w:r w:rsidRPr="00991178">
        <w:rPr>
          <w:color w:val="000000" w:themeColor="text1"/>
          <w:u w:color="1F497D"/>
          <w:lang w:val="en-GB"/>
        </w:rPr>
        <w:t xml:space="preserve"> Fisher Scientific </w:t>
      </w:r>
      <w:proofErr w:type="spellStart"/>
      <w:r w:rsidRPr="00991178">
        <w:rPr>
          <w:color w:val="000000" w:themeColor="text1"/>
          <w:u w:color="1F497D"/>
          <w:lang w:val="en-GB"/>
        </w:rPr>
        <w:t>iCap</w:t>
      </w:r>
      <w:proofErr w:type="spellEnd"/>
      <w:r w:rsidRPr="00991178">
        <w:rPr>
          <w:color w:val="000000" w:themeColor="text1"/>
          <w:u w:color="1F497D"/>
          <w:lang w:val="en-GB"/>
        </w:rPr>
        <w:t xml:space="preserve"> 7400 Duo Full MFC (Dual View)</w:t>
      </w:r>
      <w:r>
        <w:rPr>
          <w:color w:val="000000" w:themeColor="text1"/>
          <w:u w:color="1F497D"/>
          <w:lang w:val="en-GB"/>
        </w:rPr>
        <w:t>.</w:t>
      </w:r>
      <w:r w:rsidRPr="00991178">
        <w:rPr>
          <w:color w:val="000000" w:themeColor="text1"/>
          <w:u w:color="1F497D"/>
          <w:lang w:val="en-GB"/>
        </w:rPr>
        <w:t xml:space="preserve"> </w:t>
      </w:r>
      <w:r>
        <w:rPr>
          <w:color w:val="000000" w:themeColor="text1"/>
          <w:u w:color="1F497D"/>
          <w:lang w:val="en-GB"/>
        </w:rPr>
        <w:t>T</w:t>
      </w:r>
      <w:r w:rsidRPr="00BD5E11">
        <w:rPr>
          <w:color w:val="000000" w:themeColor="text1"/>
          <w:u w:color="1F497D"/>
          <w:lang w:val="en-GB"/>
        </w:rPr>
        <w:t xml:space="preserve">he heavy metals As, Cd and Sb were determined by inductively coupled plasma mass spectroscopy (ICP-MS) (EN ISO 17294-2, 2016) </w:t>
      </w:r>
      <w:r w:rsidRPr="00BD5E11">
        <w:rPr>
          <w:noProof/>
          <w:color w:val="000000" w:themeColor="text1"/>
          <w:u w:color="1F497D"/>
          <w:lang w:val="en-GB"/>
        </w:rPr>
        <w:t>[5]</w:t>
      </w:r>
      <w:r w:rsidRPr="00BD5E11">
        <w:rPr>
          <w:color w:val="000000" w:themeColor="text1"/>
          <w:u w:color="1F497D"/>
          <w:lang w:val="en-GB"/>
        </w:rPr>
        <w:t xml:space="preserve"> using </w:t>
      </w:r>
      <w:proofErr w:type="gramStart"/>
      <w:r w:rsidRPr="00BD5E11">
        <w:rPr>
          <w:color w:val="000000" w:themeColor="text1"/>
          <w:u w:color="1F497D"/>
          <w:lang w:val="en-GB"/>
        </w:rPr>
        <w:t>a</w:t>
      </w:r>
      <w:proofErr w:type="gramEnd"/>
      <w:r w:rsidRPr="00BD5E11">
        <w:rPr>
          <w:color w:val="000000" w:themeColor="text1"/>
          <w:u w:color="1F497D"/>
          <w:lang w:val="en-GB"/>
        </w:rPr>
        <w:t xml:space="preserve"> </w:t>
      </w:r>
      <w:r w:rsidRPr="00BD5E11">
        <w:rPr>
          <w:rFonts w:hint="eastAsia"/>
          <w:color w:val="000000" w:themeColor="text1"/>
          <w:u w:color="1F497D"/>
          <w:lang w:val="en-GB"/>
        </w:rPr>
        <w:t>Agilent Technologies 7900</w:t>
      </w:r>
      <w:r w:rsidRPr="00BD5E11">
        <w:rPr>
          <w:color w:val="000000" w:themeColor="text1"/>
          <w:u w:color="1F497D"/>
          <w:lang w:val="en-GB"/>
        </w:rPr>
        <w:t xml:space="preserve">. Total contents of C, N and S were determined using a EuroEA3000 CHNS-analyser by </w:t>
      </w:r>
      <w:proofErr w:type="spellStart"/>
      <w:r w:rsidRPr="00BD5E11">
        <w:rPr>
          <w:color w:val="000000" w:themeColor="text1"/>
          <w:u w:color="1F497D"/>
          <w:lang w:val="en-GB"/>
        </w:rPr>
        <w:t>Hekatech</w:t>
      </w:r>
      <w:proofErr w:type="spellEnd"/>
      <w:r w:rsidRPr="00BD5E11">
        <w:rPr>
          <w:color w:val="000000" w:themeColor="text1"/>
          <w:u w:color="1F497D"/>
          <w:lang w:val="en-GB"/>
        </w:rPr>
        <w:t xml:space="preserve"> with the software </w:t>
      </w:r>
      <w:proofErr w:type="spellStart"/>
      <w:r w:rsidRPr="00BD5E11">
        <w:rPr>
          <w:color w:val="000000" w:themeColor="text1"/>
          <w:u w:color="1F497D"/>
          <w:lang w:val="en-GB"/>
        </w:rPr>
        <w:t>Callidus</w:t>
      </w:r>
      <w:proofErr w:type="spellEnd"/>
      <w:r w:rsidRPr="00BD5E11">
        <w:rPr>
          <w:color w:val="000000" w:themeColor="text1"/>
          <w:u w:color="1F497D"/>
          <w:lang w:val="en-GB"/>
        </w:rPr>
        <w:t xml:space="preserve"> according to EN 15936, 2012 </w:t>
      </w:r>
      <w:r w:rsidRPr="00BD5E11">
        <w:rPr>
          <w:noProof/>
          <w:color w:val="000000" w:themeColor="text1"/>
          <w:u w:color="1F497D"/>
          <w:lang w:val="en-GB"/>
        </w:rPr>
        <w:t>[6]</w:t>
      </w:r>
      <w:r w:rsidRPr="00BD5E11">
        <w:rPr>
          <w:color w:val="000000" w:themeColor="text1"/>
          <w:u w:color="1F497D"/>
          <w:lang w:val="en-GB"/>
        </w:rPr>
        <w:t xml:space="preserve">. The composition of C was additionally characterised by TOC and TIC with the same method as used for TC. Further, applying another method based on temperature-dependent combustion of carbon (DIN 19539, 2016) </w:t>
      </w:r>
      <w:r w:rsidRPr="00BD5E11">
        <w:rPr>
          <w:noProof/>
          <w:color w:val="000000" w:themeColor="text1"/>
          <w:u w:color="1F497D"/>
          <w:lang w:val="en-GB"/>
        </w:rPr>
        <w:t>[7]</w:t>
      </w:r>
      <w:r w:rsidRPr="00BD5E11">
        <w:rPr>
          <w:lang w:val="en-US"/>
        </w:rPr>
        <w:t xml:space="preserve"> </w:t>
      </w:r>
      <w:r w:rsidRPr="00BD5E11">
        <w:rPr>
          <w:color w:val="000000" w:themeColor="text1"/>
          <w:u w:color="1F497D"/>
          <w:lang w:val="en-GB"/>
        </w:rPr>
        <w:t xml:space="preserve">using a </w:t>
      </w:r>
      <w:proofErr w:type="spellStart"/>
      <w:r w:rsidRPr="00BD5E11">
        <w:rPr>
          <w:color w:val="000000" w:themeColor="text1"/>
          <w:u w:color="1F497D"/>
          <w:lang w:val="en-GB"/>
        </w:rPr>
        <w:t>Primacs</w:t>
      </w:r>
      <w:proofErr w:type="spellEnd"/>
      <w:r w:rsidRPr="00BD5E11">
        <w:rPr>
          <w:color w:val="000000" w:themeColor="text1"/>
          <w:u w:color="1F497D"/>
          <w:lang w:val="en-GB"/>
        </w:rPr>
        <w:t xml:space="preserve"> SCN-100 analyser, the differentiation of TOC into degradable organic carbon (TOC400 or OC) and residual </w:t>
      </w:r>
      <w:proofErr w:type="spellStart"/>
      <w:r w:rsidRPr="00BD5E11">
        <w:rPr>
          <w:color w:val="000000" w:themeColor="text1"/>
          <w:u w:color="1F497D"/>
          <w:lang w:val="en-GB"/>
        </w:rPr>
        <w:t>oxidisable</w:t>
      </w:r>
      <w:proofErr w:type="spellEnd"/>
      <w:r w:rsidRPr="00BD5E11">
        <w:rPr>
          <w:color w:val="000000" w:themeColor="text1"/>
          <w:u w:color="1F497D"/>
          <w:lang w:val="en-GB"/>
        </w:rPr>
        <w:t xml:space="preserve"> carbon or elemental carbon (ROC or EC) was achieved. The TIC900, w</w:t>
      </w:r>
      <w:r w:rsidRPr="000F1AE2">
        <w:rPr>
          <w:color w:val="000000" w:themeColor="text1"/>
          <w:u w:color="1F497D"/>
          <w:lang w:val="en-GB"/>
        </w:rPr>
        <w:t xml:space="preserve">hich </w:t>
      </w:r>
      <w:proofErr w:type="gramStart"/>
      <w:r w:rsidRPr="000F1AE2">
        <w:rPr>
          <w:color w:val="000000" w:themeColor="text1"/>
          <w:u w:color="1F497D"/>
          <w:lang w:val="en-GB"/>
        </w:rPr>
        <w:t>is released</w:t>
      </w:r>
      <w:proofErr w:type="gramEnd"/>
      <w:r w:rsidRPr="000F1AE2">
        <w:rPr>
          <w:color w:val="000000" w:themeColor="text1"/>
          <w:u w:color="1F497D"/>
          <w:lang w:val="en-GB"/>
        </w:rPr>
        <w:t xml:space="preserve"> from 400 to 900°C is the third fraction produced with this method and corresponds to the TIC. Finally, the loss on ignition (LOI) was determined by heating a few grams of bottom ash &lt;0.1 mm for 2 h </w:t>
      </w:r>
      <w:r>
        <w:rPr>
          <w:color w:val="000000" w:themeColor="text1"/>
          <w:u w:color="1F497D"/>
          <w:lang w:val="en-GB"/>
        </w:rPr>
        <w:t xml:space="preserve">at 550°C in a </w:t>
      </w:r>
      <w:r w:rsidRPr="000F1AE2">
        <w:rPr>
          <w:color w:val="000000" w:themeColor="text1"/>
          <w:u w:color="1F497D"/>
          <w:lang w:val="en-GB"/>
        </w:rPr>
        <w:t>muffle furnace</w:t>
      </w:r>
      <w:r>
        <w:rPr>
          <w:color w:val="000000" w:themeColor="text1"/>
          <w:u w:color="1F497D"/>
          <w:lang w:val="en-GB"/>
        </w:rPr>
        <w:t>.</w:t>
      </w:r>
    </w:p>
    <w:p w:rsidR="003E762A" w:rsidRPr="00BD5E11" w:rsidRDefault="003E762A" w:rsidP="00E92F3B">
      <w:pPr>
        <w:pStyle w:val="Body"/>
        <w:jc w:val="both"/>
        <w:rPr>
          <w:color w:val="000000" w:themeColor="text1"/>
          <w:u w:color="1F497D"/>
          <w:lang w:val="en-GB"/>
        </w:rPr>
      </w:pPr>
      <w:r w:rsidRPr="000F1AE2">
        <w:rPr>
          <w:color w:val="000000" w:themeColor="text1"/>
          <w:u w:color="1F497D"/>
          <w:lang w:val="en-GB"/>
        </w:rPr>
        <w:t xml:space="preserve">For the analysis of the eluate behaviour, batch tests </w:t>
      </w:r>
      <w:proofErr w:type="gramStart"/>
      <w:r w:rsidRPr="000F1AE2">
        <w:rPr>
          <w:color w:val="000000" w:themeColor="text1"/>
          <w:u w:color="1F497D"/>
          <w:lang w:val="en-GB"/>
        </w:rPr>
        <w:t>have been performed</w:t>
      </w:r>
      <w:proofErr w:type="gramEnd"/>
      <w:r w:rsidRPr="000F1AE2">
        <w:rPr>
          <w:color w:val="000000" w:themeColor="text1"/>
          <w:u w:color="1F497D"/>
          <w:lang w:val="en-GB"/>
        </w:rPr>
        <w:t xml:space="preserve"> with a liquid to s</w:t>
      </w:r>
      <w:r w:rsidRPr="00BD5E11">
        <w:rPr>
          <w:color w:val="000000" w:themeColor="text1"/>
          <w:u w:color="1F497D"/>
          <w:lang w:val="en-GB"/>
        </w:rPr>
        <w:t xml:space="preserve">olid (L/S) ratio of 10 during 24 h according to the Swiss Waste Legislation </w:t>
      </w:r>
      <w:r w:rsidRPr="00BD5E11">
        <w:rPr>
          <w:noProof/>
          <w:color w:val="000000" w:themeColor="text1"/>
          <w:u w:color="1F497D"/>
          <w:lang w:val="en-GB"/>
        </w:rPr>
        <w:t>[3]</w:t>
      </w:r>
      <w:r w:rsidRPr="00BD5E11">
        <w:rPr>
          <w:color w:val="000000" w:themeColor="text1"/>
          <w:u w:color="1F497D"/>
          <w:lang w:val="en-GB"/>
        </w:rPr>
        <w:t>. To meet the legal requirements, batch test have to be performed in two parts:</w:t>
      </w:r>
      <w:r>
        <w:rPr>
          <w:color w:val="000000" w:themeColor="text1"/>
          <w:u w:color="1F497D"/>
          <w:lang w:val="en-GB"/>
        </w:rPr>
        <w:t xml:space="preserve"> Test </w:t>
      </w:r>
      <w:r w:rsidRPr="00BD5E11">
        <w:rPr>
          <w:color w:val="000000" w:themeColor="text1"/>
          <w:u w:color="1F497D"/>
          <w:lang w:val="en-GB"/>
        </w:rPr>
        <w:t>1</w:t>
      </w:r>
      <w:r>
        <w:rPr>
          <w:color w:val="000000" w:themeColor="text1"/>
          <w:u w:color="1F497D"/>
          <w:lang w:val="en-GB"/>
        </w:rPr>
        <w:t xml:space="preserve"> - </w:t>
      </w:r>
      <w:r w:rsidRPr="00BD5E11">
        <w:rPr>
          <w:color w:val="000000" w:themeColor="text1"/>
          <w:u w:color="1F497D"/>
          <w:lang w:val="en-GB"/>
        </w:rPr>
        <w:t xml:space="preserve">Mixing of bottom ash </w:t>
      </w:r>
      <w:r>
        <w:rPr>
          <w:color w:val="000000" w:themeColor="text1"/>
          <w:u w:color="1F497D"/>
          <w:lang w:val="en-GB"/>
        </w:rPr>
        <w:t xml:space="preserve">&lt;5 mm </w:t>
      </w:r>
      <w:r w:rsidRPr="00BD5E11">
        <w:rPr>
          <w:color w:val="000000" w:themeColor="text1"/>
          <w:u w:color="1F497D"/>
          <w:lang w:val="en-GB"/>
        </w:rPr>
        <w:t>in its original condition with CO</w:t>
      </w:r>
      <w:r w:rsidRPr="00BD5E11">
        <w:rPr>
          <w:color w:val="000000" w:themeColor="text1"/>
          <w:u w:color="1F497D"/>
          <w:vertAlign w:val="subscript"/>
          <w:lang w:val="en-GB"/>
        </w:rPr>
        <w:t>2</w:t>
      </w:r>
      <w:r w:rsidRPr="00BD5E11">
        <w:rPr>
          <w:color w:val="000000" w:themeColor="text1"/>
          <w:u w:color="1F497D"/>
          <w:lang w:val="en-GB"/>
        </w:rPr>
        <w:t>-saturated water for the determination of Cu (</w:t>
      </w:r>
      <w:proofErr w:type="spellStart"/>
      <w:r w:rsidRPr="00BD5E11">
        <w:rPr>
          <w:color w:val="000000" w:themeColor="text1"/>
          <w:u w:color="1F497D"/>
          <w:lang w:val="en-GB"/>
        </w:rPr>
        <w:t>aq</w:t>
      </w:r>
      <w:proofErr w:type="spellEnd"/>
      <w:r>
        <w:rPr>
          <w:color w:val="000000" w:themeColor="text1"/>
          <w:u w:color="1F497D"/>
          <w:lang w:val="en-GB"/>
        </w:rPr>
        <w:t xml:space="preserve"> + CO</w:t>
      </w:r>
      <w:r w:rsidRPr="00A72A72">
        <w:rPr>
          <w:color w:val="000000" w:themeColor="text1"/>
          <w:u w:color="1F497D"/>
          <w:vertAlign w:val="subscript"/>
          <w:lang w:val="en-GB"/>
        </w:rPr>
        <w:t>2</w:t>
      </w:r>
      <w:r w:rsidRPr="00BD5E11">
        <w:rPr>
          <w:color w:val="000000" w:themeColor="text1"/>
          <w:u w:color="1F497D"/>
          <w:lang w:val="en-GB"/>
        </w:rPr>
        <w:t>) and Zn (</w:t>
      </w:r>
      <w:proofErr w:type="spellStart"/>
      <w:r w:rsidRPr="00BD5E11">
        <w:rPr>
          <w:color w:val="000000" w:themeColor="text1"/>
          <w:u w:color="1F497D"/>
          <w:lang w:val="en-GB"/>
        </w:rPr>
        <w:t>aq</w:t>
      </w:r>
      <w:proofErr w:type="spellEnd"/>
      <w:r>
        <w:rPr>
          <w:color w:val="000000" w:themeColor="text1"/>
          <w:u w:color="1F497D"/>
          <w:lang w:val="en-GB"/>
        </w:rPr>
        <w:t xml:space="preserve"> + CO</w:t>
      </w:r>
      <w:r w:rsidRPr="00A72A72">
        <w:rPr>
          <w:color w:val="000000" w:themeColor="text1"/>
          <w:u w:color="1F497D"/>
          <w:vertAlign w:val="subscript"/>
          <w:lang w:val="en-GB"/>
        </w:rPr>
        <w:t>2</w:t>
      </w:r>
      <w:r w:rsidRPr="00BD5E11">
        <w:rPr>
          <w:color w:val="000000" w:themeColor="text1"/>
          <w:u w:color="1F497D"/>
          <w:lang w:val="en-GB"/>
        </w:rPr>
        <w:t xml:space="preserve">) in order to simulate </w:t>
      </w:r>
      <w:r>
        <w:rPr>
          <w:color w:val="000000" w:themeColor="text1"/>
          <w:u w:color="1F497D"/>
          <w:lang w:val="en-GB"/>
        </w:rPr>
        <w:t>acid rain conditions</w:t>
      </w:r>
      <w:r w:rsidRPr="00BD5E11">
        <w:rPr>
          <w:color w:val="000000" w:themeColor="text1"/>
          <w:u w:color="1F497D"/>
          <w:lang w:val="en-GB"/>
        </w:rPr>
        <w:t>.</w:t>
      </w:r>
      <w:r>
        <w:rPr>
          <w:color w:val="000000" w:themeColor="text1"/>
          <w:u w:color="1F497D"/>
          <w:lang w:val="en-GB"/>
        </w:rPr>
        <w:t xml:space="preserve"> Test 2 - </w:t>
      </w:r>
      <w:r w:rsidRPr="00BD5E11">
        <w:rPr>
          <w:color w:val="000000" w:themeColor="text1"/>
          <w:u w:color="1F497D"/>
          <w:lang w:val="en-GB"/>
        </w:rPr>
        <w:t xml:space="preserve">Mixing of bottom ash </w:t>
      </w:r>
      <w:r>
        <w:rPr>
          <w:color w:val="000000" w:themeColor="text1"/>
          <w:u w:color="1F497D"/>
          <w:lang w:val="en-GB"/>
        </w:rPr>
        <w:t xml:space="preserve">&lt;5 mm </w:t>
      </w:r>
      <w:r w:rsidRPr="00BD5E11">
        <w:rPr>
          <w:color w:val="000000" w:themeColor="text1"/>
          <w:u w:color="1F497D"/>
          <w:lang w:val="en-GB"/>
        </w:rPr>
        <w:t>in its original condition with deionised water for the determination of DOC, NH</w:t>
      </w:r>
      <w:r w:rsidRPr="00BD5E11">
        <w:rPr>
          <w:color w:val="000000" w:themeColor="text1"/>
          <w:u w:color="1F497D"/>
          <w:vertAlign w:val="subscript"/>
          <w:lang w:val="en-GB"/>
        </w:rPr>
        <w:t>4</w:t>
      </w:r>
      <w:r w:rsidRPr="00BD5E11">
        <w:rPr>
          <w:color w:val="000000" w:themeColor="text1"/>
          <w:u w:color="1F497D"/>
          <w:vertAlign w:val="superscript"/>
          <w:lang w:val="en-GB"/>
        </w:rPr>
        <w:t>+</w:t>
      </w:r>
      <w:r w:rsidRPr="00BD5E11">
        <w:rPr>
          <w:color w:val="000000" w:themeColor="text1"/>
          <w:u w:color="1F497D"/>
          <w:lang w:val="en-GB"/>
        </w:rPr>
        <w:t>, NO</w:t>
      </w:r>
      <w:r w:rsidRPr="00BD5E11">
        <w:rPr>
          <w:color w:val="000000" w:themeColor="text1"/>
          <w:u w:color="1F497D"/>
          <w:vertAlign w:val="subscript"/>
          <w:lang w:val="en-GB"/>
        </w:rPr>
        <w:t>2</w:t>
      </w:r>
      <w:r w:rsidRPr="00BD5E11">
        <w:rPr>
          <w:color w:val="000000" w:themeColor="text1"/>
          <w:u w:color="1F497D"/>
          <w:vertAlign w:val="superscript"/>
          <w:lang w:val="en-GB"/>
        </w:rPr>
        <w:t>-</w:t>
      </w:r>
      <w:r w:rsidRPr="00BD5E11">
        <w:rPr>
          <w:color w:val="000000" w:themeColor="text1"/>
          <w:u w:color="1F497D"/>
          <w:lang w:val="en-GB"/>
        </w:rPr>
        <w:t>, F</w:t>
      </w:r>
      <w:r w:rsidRPr="00BD5E11">
        <w:rPr>
          <w:color w:val="000000" w:themeColor="text1"/>
          <w:u w:color="1F497D"/>
          <w:vertAlign w:val="superscript"/>
          <w:lang w:val="en-GB"/>
        </w:rPr>
        <w:t>-</w:t>
      </w:r>
      <w:r w:rsidRPr="00BD5E11">
        <w:rPr>
          <w:color w:val="000000" w:themeColor="text1"/>
          <w:u w:color="1F497D"/>
          <w:lang w:val="en-GB"/>
        </w:rPr>
        <w:t>, SO</w:t>
      </w:r>
      <w:r w:rsidRPr="00BD5E11">
        <w:rPr>
          <w:color w:val="000000" w:themeColor="text1"/>
          <w:u w:color="1F497D"/>
          <w:vertAlign w:val="subscript"/>
          <w:lang w:val="en-GB"/>
        </w:rPr>
        <w:t>3</w:t>
      </w:r>
      <w:r w:rsidRPr="00BD5E11">
        <w:rPr>
          <w:color w:val="000000" w:themeColor="text1"/>
          <w:u w:color="1F497D"/>
          <w:vertAlign w:val="superscript"/>
          <w:lang w:val="en-GB"/>
        </w:rPr>
        <w:t>2-</w:t>
      </w:r>
      <w:r w:rsidRPr="00BD5E11">
        <w:rPr>
          <w:color w:val="000000" w:themeColor="text1"/>
          <w:u w:color="1F497D"/>
          <w:lang w:val="en-GB"/>
        </w:rPr>
        <w:t>, S</w:t>
      </w:r>
      <w:r w:rsidRPr="00BD5E11">
        <w:rPr>
          <w:color w:val="000000" w:themeColor="text1"/>
          <w:u w:color="1F497D"/>
          <w:vertAlign w:val="subscript"/>
          <w:lang w:val="en-GB"/>
        </w:rPr>
        <w:t>2</w:t>
      </w:r>
      <w:r w:rsidRPr="00BD5E11">
        <w:rPr>
          <w:color w:val="000000" w:themeColor="text1"/>
          <w:u w:color="1F497D"/>
          <w:vertAlign w:val="superscript"/>
          <w:lang w:val="en-GB"/>
        </w:rPr>
        <w:t>-</w:t>
      </w:r>
      <w:r>
        <w:rPr>
          <w:color w:val="000000" w:themeColor="text1"/>
          <w:u w:color="1F497D"/>
          <w:lang w:val="en-GB"/>
        </w:rPr>
        <w:t xml:space="preserve">, </w:t>
      </w:r>
      <w:r w:rsidRPr="00BD5E11">
        <w:rPr>
          <w:color w:val="000000" w:themeColor="text1"/>
          <w:u w:color="1F497D"/>
          <w:lang w:val="en-GB"/>
        </w:rPr>
        <w:t>Cr(IV)</w:t>
      </w:r>
      <w:r>
        <w:rPr>
          <w:color w:val="000000" w:themeColor="text1"/>
          <w:u w:color="1F497D"/>
          <w:lang w:val="en-GB"/>
        </w:rPr>
        <w:t xml:space="preserve"> and Cu(</w:t>
      </w:r>
      <w:proofErr w:type="spellStart"/>
      <w:r>
        <w:rPr>
          <w:color w:val="000000" w:themeColor="text1"/>
          <w:u w:color="1F497D"/>
          <w:lang w:val="en-GB"/>
        </w:rPr>
        <w:t>aq</w:t>
      </w:r>
      <w:proofErr w:type="spellEnd"/>
      <w:r>
        <w:rPr>
          <w:color w:val="000000" w:themeColor="text1"/>
          <w:u w:color="1F497D"/>
          <w:lang w:val="en-GB"/>
        </w:rPr>
        <w:t>)</w:t>
      </w:r>
      <w:r w:rsidRPr="00BD5E11">
        <w:rPr>
          <w:color w:val="000000" w:themeColor="text1"/>
          <w:u w:color="1F497D"/>
          <w:lang w:val="en-GB"/>
        </w:rPr>
        <w:t>. Saturation with CO</w:t>
      </w:r>
      <w:r w:rsidRPr="00BD5E11">
        <w:rPr>
          <w:color w:val="000000" w:themeColor="text1"/>
          <w:u w:color="1F497D"/>
          <w:vertAlign w:val="subscript"/>
          <w:lang w:val="en-GB"/>
        </w:rPr>
        <w:t>2</w:t>
      </w:r>
      <w:r w:rsidRPr="00BD5E11">
        <w:rPr>
          <w:color w:val="000000" w:themeColor="text1"/>
          <w:u w:color="1F497D"/>
          <w:lang w:val="en-GB"/>
        </w:rPr>
        <w:t xml:space="preserve"> </w:t>
      </w:r>
      <w:proofErr w:type="gramStart"/>
      <w:r w:rsidRPr="00BD5E11">
        <w:rPr>
          <w:color w:val="000000" w:themeColor="text1"/>
          <w:u w:color="1F497D"/>
          <w:lang w:val="en-GB"/>
        </w:rPr>
        <w:t>is achieved</w:t>
      </w:r>
      <w:proofErr w:type="gramEnd"/>
      <w:r w:rsidRPr="00BD5E11">
        <w:rPr>
          <w:color w:val="000000" w:themeColor="text1"/>
          <w:u w:color="1F497D"/>
          <w:lang w:val="en-GB"/>
        </w:rPr>
        <w:t xml:space="preserve"> by continuous injection of </w:t>
      </w:r>
      <w:r w:rsidRPr="00BD5E11">
        <w:rPr>
          <w:rFonts w:ascii="Times New Roman" w:hAnsi="Times New Roman" w:cs="Times New Roman"/>
          <w:color w:val="000000" w:themeColor="text1"/>
          <w:u w:color="1F497D"/>
          <w:lang w:val="en-GB"/>
        </w:rPr>
        <w:t>~</w:t>
      </w:r>
      <w:r w:rsidRPr="00BD5E11">
        <w:rPr>
          <w:color w:val="000000" w:themeColor="text1"/>
          <w:u w:color="1F497D"/>
          <w:lang w:val="en-GB"/>
        </w:rPr>
        <w:t>50 mL CO</w:t>
      </w:r>
      <w:r w:rsidRPr="00BD5E11">
        <w:rPr>
          <w:color w:val="000000" w:themeColor="text1"/>
          <w:u w:color="1F497D"/>
          <w:vertAlign w:val="subscript"/>
          <w:lang w:val="en-GB"/>
        </w:rPr>
        <w:t>2</w:t>
      </w:r>
      <w:r w:rsidRPr="00BD5E11">
        <w:rPr>
          <w:color w:val="000000" w:themeColor="text1"/>
          <w:u w:color="1F497D"/>
          <w:lang w:val="en-GB"/>
        </w:rPr>
        <w:t xml:space="preserve">/min through a glass tube into the elution vessel. The analyses of </w:t>
      </w:r>
      <w:proofErr w:type="gramStart"/>
      <w:r w:rsidRPr="00BD5E11">
        <w:rPr>
          <w:color w:val="000000" w:themeColor="text1"/>
          <w:u w:color="1F497D"/>
          <w:lang w:val="en-GB"/>
        </w:rPr>
        <w:t>Cr(</w:t>
      </w:r>
      <w:proofErr w:type="gramEnd"/>
      <w:r w:rsidRPr="00BD5E11">
        <w:rPr>
          <w:color w:val="000000" w:themeColor="text1"/>
          <w:u w:color="1F497D"/>
          <w:lang w:val="en-GB"/>
        </w:rPr>
        <w:t>IV), Cu (</w:t>
      </w:r>
      <w:proofErr w:type="spellStart"/>
      <w:r w:rsidRPr="00BD5E11">
        <w:rPr>
          <w:color w:val="000000" w:themeColor="text1"/>
          <w:u w:color="1F497D"/>
          <w:lang w:val="en-GB"/>
        </w:rPr>
        <w:t>aq</w:t>
      </w:r>
      <w:proofErr w:type="spellEnd"/>
      <w:r w:rsidRPr="00BD5E11">
        <w:rPr>
          <w:color w:val="000000" w:themeColor="text1"/>
          <w:u w:color="1F497D"/>
          <w:lang w:val="en-GB"/>
        </w:rPr>
        <w:t>)</w:t>
      </w:r>
      <w:r>
        <w:rPr>
          <w:color w:val="000000" w:themeColor="text1"/>
          <w:u w:color="1F497D"/>
          <w:lang w:val="en-GB"/>
        </w:rPr>
        <w:t xml:space="preserve">, </w:t>
      </w:r>
      <w:r w:rsidRPr="00BD5E11">
        <w:rPr>
          <w:color w:val="000000" w:themeColor="text1"/>
          <w:u w:color="1F497D"/>
          <w:lang w:val="en-GB"/>
        </w:rPr>
        <w:t>Cu (</w:t>
      </w:r>
      <w:proofErr w:type="spellStart"/>
      <w:r w:rsidRPr="00BD5E11">
        <w:rPr>
          <w:color w:val="000000" w:themeColor="text1"/>
          <w:u w:color="1F497D"/>
          <w:lang w:val="en-GB"/>
        </w:rPr>
        <w:t>aq</w:t>
      </w:r>
      <w:proofErr w:type="spellEnd"/>
      <w:r>
        <w:rPr>
          <w:color w:val="000000" w:themeColor="text1"/>
          <w:u w:color="1F497D"/>
          <w:lang w:val="en-GB"/>
        </w:rPr>
        <w:t xml:space="preserve"> + CO</w:t>
      </w:r>
      <w:r w:rsidRPr="00A72A72">
        <w:rPr>
          <w:color w:val="000000" w:themeColor="text1"/>
          <w:u w:color="1F497D"/>
          <w:vertAlign w:val="subscript"/>
          <w:lang w:val="en-GB"/>
        </w:rPr>
        <w:t>2</w:t>
      </w:r>
      <w:r w:rsidRPr="00BD5E11">
        <w:rPr>
          <w:color w:val="000000" w:themeColor="text1"/>
          <w:u w:color="1F497D"/>
          <w:lang w:val="en-GB"/>
        </w:rPr>
        <w:t>) and Zn (</w:t>
      </w:r>
      <w:proofErr w:type="spellStart"/>
      <w:r w:rsidRPr="00BD5E11">
        <w:rPr>
          <w:color w:val="000000" w:themeColor="text1"/>
          <w:u w:color="1F497D"/>
          <w:lang w:val="en-GB"/>
        </w:rPr>
        <w:t>aq</w:t>
      </w:r>
      <w:proofErr w:type="spellEnd"/>
      <w:r>
        <w:rPr>
          <w:color w:val="000000" w:themeColor="text1"/>
          <w:u w:color="1F497D"/>
          <w:lang w:val="en-GB"/>
        </w:rPr>
        <w:t xml:space="preserve"> + CO</w:t>
      </w:r>
      <w:r w:rsidRPr="00A72A72">
        <w:rPr>
          <w:color w:val="000000" w:themeColor="text1"/>
          <w:u w:color="1F497D"/>
          <w:vertAlign w:val="subscript"/>
          <w:lang w:val="en-GB"/>
        </w:rPr>
        <w:t>2</w:t>
      </w:r>
      <w:r w:rsidRPr="00BD5E11">
        <w:rPr>
          <w:color w:val="000000" w:themeColor="text1"/>
          <w:u w:color="1F497D"/>
          <w:lang w:val="en-GB"/>
        </w:rPr>
        <w:t xml:space="preserve">) was performed by liquid </w:t>
      </w:r>
      <w:r w:rsidRPr="00BD5E11">
        <w:rPr>
          <w:color w:val="000000" w:themeColor="text1"/>
          <w:u w:color="1F497D"/>
          <w:lang w:val="en-GB"/>
        </w:rPr>
        <w:lastRenderedPageBreak/>
        <w:t xml:space="preserve">chromatography (LC) coupled with ICP-MS using a </w:t>
      </w:r>
      <w:r w:rsidRPr="00BD5E11">
        <w:rPr>
          <w:rFonts w:hint="eastAsia"/>
          <w:color w:val="000000" w:themeColor="text1"/>
          <w:u w:color="1F497D"/>
          <w:lang w:val="en-GB"/>
        </w:rPr>
        <w:t>Agilent Technologies 7900</w:t>
      </w:r>
      <w:r w:rsidRPr="00BD5E11">
        <w:rPr>
          <w:color w:val="000000" w:themeColor="text1"/>
          <w:u w:color="1F497D"/>
          <w:lang w:val="en-GB"/>
        </w:rPr>
        <w:t xml:space="preserve"> (EN ISO 17294-2, 2016)</w:t>
      </w:r>
      <w:r>
        <w:rPr>
          <w:color w:val="000000" w:themeColor="text1"/>
          <w:u w:color="1F497D"/>
          <w:lang w:val="en-GB"/>
        </w:rPr>
        <w:t xml:space="preserve"> </w:t>
      </w:r>
      <w:r>
        <w:rPr>
          <w:noProof/>
          <w:color w:val="000000" w:themeColor="text1"/>
          <w:u w:color="1F497D"/>
          <w:lang w:val="en-GB"/>
        </w:rPr>
        <w:t>[5]</w:t>
      </w:r>
      <w:r w:rsidRPr="00BD5E11">
        <w:rPr>
          <w:color w:val="000000" w:themeColor="text1"/>
          <w:u w:color="1F497D"/>
          <w:lang w:val="en-GB"/>
        </w:rPr>
        <w:t>.</w:t>
      </w:r>
      <w:r w:rsidRPr="006439EA">
        <w:rPr>
          <w:color w:val="000000" w:themeColor="text1"/>
          <w:u w:color="1F497D"/>
          <w:lang w:val="en-GB"/>
        </w:rPr>
        <w:t xml:space="preserve"> DOC was determined by thermal oxidation </w:t>
      </w:r>
      <w:r>
        <w:rPr>
          <w:color w:val="000000" w:themeColor="text1"/>
          <w:u w:color="1F497D"/>
          <w:lang w:val="en-GB"/>
        </w:rPr>
        <w:t xml:space="preserve">using a </w:t>
      </w:r>
      <w:r w:rsidRPr="009E4343">
        <w:rPr>
          <w:color w:val="000000" w:themeColor="text1"/>
          <w:u w:color="1F497D"/>
          <w:lang w:val="en-GB"/>
        </w:rPr>
        <w:t xml:space="preserve">Shimadzu 5000 </w:t>
      </w:r>
      <w:r w:rsidRPr="001D2573">
        <w:rPr>
          <w:color w:val="000000" w:themeColor="text1"/>
          <w:u w:color="1F497D"/>
          <w:lang w:val="en-GB"/>
        </w:rPr>
        <w:t>(EN 1484, 1997)</w:t>
      </w:r>
      <w:r>
        <w:rPr>
          <w:color w:val="000000" w:themeColor="text1"/>
          <w:u w:color="1F497D"/>
          <w:lang w:val="en-GB"/>
        </w:rPr>
        <w:t xml:space="preserve"> </w:t>
      </w:r>
      <w:r>
        <w:rPr>
          <w:noProof/>
          <w:color w:val="000000" w:themeColor="text1"/>
          <w:u w:color="1F497D"/>
          <w:lang w:val="en-GB"/>
        </w:rPr>
        <w:t>[8]</w:t>
      </w:r>
      <w:r w:rsidRPr="006439EA">
        <w:rPr>
          <w:color w:val="000000" w:themeColor="text1"/>
          <w:u w:color="1F497D"/>
          <w:lang w:val="en-GB"/>
        </w:rPr>
        <w:t>, NH</w:t>
      </w:r>
      <w:r w:rsidRPr="003E0990">
        <w:rPr>
          <w:color w:val="000000" w:themeColor="text1"/>
          <w:u w:color="1F497D"/>
          <w:vertAlign w:val="subscript"/>
          <w:lang w:val="en-GB"/>
        </w:rPr>
        <w:t>4</w:t>
      </w:r>
      <w:r w:rsidRPr="003E0990">
        <w:rPr>
          <w:color w:val="000000" w:themeColor="text1"/>
          <w:u w:color="1F497D"/>
          <w:vertAlign w:val="superscript"/>
          <w:lang w:val="en-GB"/>
        </w:rPr>
        <w:t>+</w:t>
      </w:r>
      <w:r w:rsidRPr="006439EA">
        <w:rPr>
          <w:color w:val="000000" w:themeColor="text1"/>
          <w:u w:color="1F497D"/>
          <w:lang w:val="en-GB"/>
        </w:rPr>
        <w:t xml:space="preserve"> and NO</w:t>
      </w:r>
      <w:r w:rsidRPr="003E0990">
        <w:rPr>
          <w:color w:val="000000" w:themeColor="text1"/>
          <w:u w:color="1F497D"/>
          <w:vertAlign w:val="subscript"/>
          <w:lang w:val="en-GB"/>
        </w:rPr>
        <w:t>2</w:t>
      </w:r>
      <w:r w:rsidRPr="003E0990">
        <w:rPr>
          <w:color w:val="000000" w:themeColor="text1"/>
          <w:u w:color="1F497D"/>
          <w:vertAlign w:val="superscript"/>
          <w:lang w:val="en-GB"/>
        </w:rPr>
        <w:t>-</w:t>
      </w:r>
      <w:r w:rsidRPr="006439EA">
        <w:rPr>
          <w:color w:val="000000" w:themeColor="text1"/>
          <w:u w:color="1F497D"/>
          <w:lang w:val="en-GB"/>
        </w:rPr>
        <w:t xml:space="preserve"> photometric with an </w:t>
      </w:r>
      <w:proofErr w:type="spellStart"/>
      <w:r w:rsidRPr="006439EA">
        <w:rPr>
          <w:color w:val="000000" w:themeColor="text1"/>
          <w:u w:color="1F497D"/>
          <w:lang w:val="en-GB"/>
        </w:rPr>
        <w:t>Aquakem</w:t>
      </w:r>
      <w:proofErr w:type="spellEnd"/>
      <w:r>
        <w:rPr>
          <w:color w:val="000000" w:themeColor="text1"/>
          <w:u w:color="1F497D"/>
          <w:lang w:val="en-GB"/>
        </w:rPr>
        <w:t xml:space="preserve"> 250</w:t>
      </w:r>
      <w:r w:rsidRPr="006439EA">
        <w:rPr>
          <w:color w:val="000000" w:themeColor="text1"/>
          <w:u w:color="1F497D"/>
          <w:lang w:val="en-GB"/>
        </w:rPr>
        <w:t xml:space="preserve"> </w:t>
      </w:r>
      <w:r w:rsidRPr="001D2573">
        <w:rPr>
          <w:color w:val="000000" w:themeColor="text1"/>
          <w:u w:color="1F497D"/>
          <w:lang w:val="en-GB"/>
        </w:rPr>
        <w:t>(DIN 38406-5, 1983)</w:t>
      </w:r>
      <w:r>
        <w:rPr>
          <w:color w:val="000000" w:themeColor="text1"/>
          <w:u w:color="1F497D"/>
          <w:lang w:val="en-GB"/>
        </w:rPr>
        <w:t xml:space="preserve"> </w:t>
      </w:r>
      <w:r>
        <w:rPr>
          <w:noProof/>
          <w:color w:val="000000" w:themeColor="text1"/>
          <w:u w:color="1F497D"/>
          <w:lang w:val="en-GB"/>
        </w:rPr>
        <w:t>[9]</w:t>
      </w:r>
      <w:r w:rsidRPr="006439EA">
        <w:rPr>
          <w:color w:val="000000" w:themeColor="text1"/>
          <w:u w:color="1F497D"/>
          <w:lang w:val="en-GB"/>
        </w:rPr>
        <w:t xml:space="preserve">. Sulphite and sulphide </w:t>
      </w:r>
      <w:proofErr w:type="gramStart"/>
      <w:r w:rsidRPr="006439EA">
        <w:rPr>
          <w:color w:val="000000" w:themeColor="text1"/>
          <w:u w:color="1F497D"/>
          <w:lang w:val="en-GB"/>
        </w:rPr>
        <w:t>were measured</w:t>
      </w:r>
      <w:proofErr w:type="gramEnd"/>
      <w:r w:rsidRPr="006439EA">
        <w:rPr>
          <w:color w:val="000000" w:themeColor="text1"/>
          <w:u w:color="1F497D"/>
          <w:lang w:val="en-GB"/>
        </w:rPr>
        <w:t xml:space="preserve"> by polarography using </w:t>
      </w:r>
      <w:r>
        <w:rPr>
          <w:color w:val="000000" w:themeColor="text1"/>
          <w:u w:color="1F497D"/>
          <w:lang w:val="en-GB"/>
        </w:rPr>
        <w:t xml:space="preserve">a </w:t>
      </w:r>
      <w:proofErr w:type="spellStart"/>
      <w:r w:rsidRPr="006439EA">
        <w:rPr>
          <w:color w:val="000000" w:themeColor="text1"/>
          <w:u w:color="1F497D"/>
          <w:lang w:val="en-GB"/>
        </w:rPr>
        <w:t>Metrohm</w:t>
      </w:r>
      <w:proofErr w:type="spellEnd"/>
      <w:r w:rsidRPr="006439EA">
        <w:rPr>
          <w:color w:val="000000" w:themeColor="text1"/>
          <w:u w:color="1F497D"/>
          <w:lang w:val="en-GB"/>
        </w:rPr>
        <w:t xml:space="preserve"> </w:t>
      </w:r>
      <w:r>
        <w:rPr>
          <w:color w:val="000000" w:themeColor="text1"/>
          <w:u w:color="1F497D"/>
          <w:lang w:val="en-GB"/>
        </w:rPr>
        <w:t xml:space="preserve">884 Professional VA according to </w:t>
      </w:r>
      <w:proofErr w:type="spellStart"/>
      <w:r>
        <w:rPr>
          <w:color w:val="000000" w:themeColor="text1"/>
          <w:u w:color="1F497D"/>
          <w:lang w:val="en-GB"/>
        </w:rPr>
        <w:t>Methrom</w:t>
      </w:r>
      <w:proofErr w:type="spellEnd"/>
      <w:r>
        <w:rPr>
          <w:color w:val="000000" w:themeColor="text1"/>
          <w:u w:color="1F497D"/>
          <w:lang w:val="en-GB"/>
        </w:rPr>
        <w:t xml:space="preserve"> </w:t>
      </w:r>
      <w:r w:rsidRPr="006439EA">
        <w:rPr>
          <w:color w:val="000000" w:themeColor="text1"/>
          <w:u w:color="1F497D"/>
          <w:lang w:val="en-GB"/>
        </w:rPr>
        <w:t>Appl. 99/1 and F</w:t>
      </w:r>
      <w:r w:rsidRPr="003E0990">
        <w:rPr>
          <w:color w:val="000000" w:themeColor="text1"/>
          <w:u w:color="1F497D"/>
          <w:vertAlign w:val="superscript"/>
          <w:lang w:val="en-GB"/>
        </w:rPr>
        <w:t>-</w:t>
      </w:r>
      <w:r w:rsidRPr="006439EA">
        <w:rPr>
          <w:color w:val="000000" w:themeColor="text1"/>
          <w:u w:color="1F497D"/>
          <w:lang w:val="en-GB"/>
        </w:rPr>
        <w:t xml:space="preserve"> with an ion-sensitive electrode in water samples and digestions</w:t>
      </w:r>
      <w:r>
        <w:rPr>
          <w:color w:val="000000" w:themeColor="text1"/>
          <w:u w:color="1F497D"/>
          <w:lang w:val="en-GB"/>
        </w:rPr>
        <w:t xml:space="preserve"> </w:t>
      </w:r>
      <w:r w:rsidRPr="001D2573">
        <w:rPr>
          <w:color w:val="000000" w:themeColor="text1"/>
          <w:u w:color="1F497D"/>
          <w:lang w:val="en-GB"/>
        </w:rPr>
        <w:t>(DIN 38405-1, 1985; ISO 10304-1, 2007)</w:t>
      </w:r>
      <w:r w:rsidRPr="006439EA">
        <w:rPr>
          <w:color w:val="000000" w:themeColor="text1"/>
          <w:u w:color="1F497D"/>
          <w:lang w:val="en-GB"/>
        </w:rPr>
        <w:t xml:space="preserve"> </w:t>
      </w:r>
      <w:r>
        <w:rPr>
          <w:noProof/>
          <w:color w:val="000000" w:themeColor="text1"/>
          <w:u w:color="1F497D"/>
          <w:lang w:val="en-GB"/>
        </w:rPr>
        <w:t>[10, 11]</w:t>
      </w:r>
      <w:r w:rsidRPr="006439EA">
        <w:rPr>
          <w:color w:val="000000" w:themeColor="text1"/>
          <w:u w:color="1F497D"/>
          <w:lang w:val="en-GB"/>
        </w:rPr>
        <w:t>.</w:t>
      </w:r>
      <w:r w:rsidRPr="00E92F3B">
        <w:rPr>
          <w:color w:val="000000" w:themeColor="text1"/>
          <w:u w:color="1F497D"/>
          <w:lang w:val="en-GB"/>
        </w:rPr>
        <w:t xml:space="preserve"> </w:t>
      </w:r>
      <w:r w:rsidRPr="00BD5E11">
        <w:rPr>
          <w:color w:val="000000" w:themeColor="text1"/>
          <w:u w:color="1F497D"/>
          <w:lang w:val="en-GB"/>
        </w:rPr>
        <w:t>Finally, the biochemical oxygen demand (</w:t>
      </w:r>
      <w:r>
        <w:rPr>
          <w:color w:val="000000" w:themeColor="text1"/>
          <w:u w:color="1F497D"/>
          <w:lang w:val="en-GB"/>
        </w:rPr>
        <w:t>B</w:t>
      </w:r>
      <w:r w:rsidRPr="00BD5E11">
        <w:rPr>
          <w:color w:val="000000" w:themeColor="text1"/>
          <w:u w:color="1F497D"/>
          <w:lang w:val="en-GB"/>
        </w:rPr>
        <w:t>O</w:t>
      </w:r>
      <w:r>
        <w:rPr>
          <w:color w:val="000000" w:themeColor="text1"/>
          <w:u w:color="1F497D"/>
          <w:lang w:val="en-GB"/>
        </w:rPr>
        <w:t>D</w:t>
      </w:r>
      <w:r w:rsidRPr="00BD5E11">
        <w:rPr>
          <w:color w:val="000000" w:themeColor="text1"/>
          <w:u w:color="1F497D"/>
          <w:lang w:val="en-GB"/>
        </w:rPr>
        <w:t xml:space="preserve">) of five days has been measured </w:t>
      </w:r>
      <w:proofErr w:type="spellStart"/>
      <w:r w:rsidRPr="00BD5E11">
        <w:rPr>
          <w:color w:val="000000" w:themeColor="text1"/>
          <w:u w:color="1F497D"/>
          <w:lang w:val="en-GB"/>
        </w:rPr>
        <w:t>respirometric</w:t>
      </w:r>
      <w:proofErr w:type="spellEnd"/>
      <w:r w:rsidRPr="00BD5E11">
        <w:rPr>
          <w:color w:val="000000" w:themeColor="text1"/>
          <w:u w:color="1F497D"/>
          <w:lang w:val="en-GB"/>
        </w:rPr>
        <w:t xml:space="preserve"> using an </w:t>
      </w:r>
      <w:proofErr w:type="spellStart"/>
      <w:r w:rsidRPr="00BD5E11">
        <w:rPr>
          <w:color w:val="000000" w:themeColor="text1"/>
          <w:u w:color="1F497D"/>
          <w:lang w:val="en-GB"/>
        </w:rPr>
        <w:t>Oxitop</w:t>
      </w:r>
      <w:proofErr w:type="spellEnd"/>
      <w:r w:rsidRPr="00BD5E11">
        <w:rPr>
          <w:color w:val="000000" w:themeColor="text1"/>
          <w:u w:color="1F497D"/>
          <w:lang w:val="en-GB"/>
        </w:rPr>
        <w:t>-system.</w:t>
      </w:r>
    </w:p>
    <w:p w:rsidR="003E762A" w:rsidRPr="006439EA" w:rsidRDefault="003E762A" w:rsidP="0082545E">
      <w:pPr>
        <w:pStyle w:val="Body"/>
        <w:jc w:val="both"/>
        <w:rPr>
          <w:color w:val="000000" w:themeColor="text1"/>
          <w:u w:color="1F497D"/>
          <w:lang w:val="en-US"/>
        </w:rPr>
      </w:pPr>
      <w:r w:rsidRPr="000F1AE2">
        <w:rPr>
          <w:color w:val="000000" w:themeColor="text1"/>
          <w:u w:color="1F497D"/>
          <w:lang w:val="en-GB"/>
        </w:rPr>
        <w:t>The physical parameters pH and electrical conductivity were measured with a pH electrode</w:t>
      </w:r>
      <w:r>
        <w:rPr>
          <w:color w:val="000000" w:themeColor="text1"/>
          <w:u w:color="1F497D"/>
          <w:lang w:val="en-GB"/>
        </w:rPr>
        <w:t xml:space="preserve"> (</w:t>
      </w:r>
      <w:proofErr w:type="spellStart"/>
      <w:r>
        <w:rPr>
          <w:color w:val="000000" w:themeColor="text1"/>
          <w:u w:color="1F497D"/>
          <w:lang w:val="en-GB"/>
        </w:rPr>
        <w:t>Aquatrode</w:t>
      </w:r>
      <w:proofErr w:type="spellEnd"/>
      <w:r>
        <w:rPr>
          <w:color w:val="000000" w:themeColor="text1"/>
          <w:u w:color="1F497D"/>
          <w:lang w:val="en-GB"/>
        </w:rPr>
        <w:t xml:space="preserve"> plus, </w:t>
      </w:r>
      <w:proofErr w:type="spellStart"/>
      <w:r w:rsidRPr="000F1AE2">
        <w:rPr>
          <w:color w:val="000000" w:themeColor="text1"/>
          <w:u w:color="1F497D"/>
          <w:lang w:val="en-GB"/>
        </w:rPr>
        <w:t>Metrohm</w:t>
      </w:r>
      <w:proofErr w:type="spellEnd"/>
      <w:r w:rsidRPr="000F1AE2">
        <w:rPr>
          <w:color w:val="000000" w:themeColor="text1"/>
          <w:u w:color="1F497D"/>
          <w:lang w:val="en-GB"/>
        </w:rPr>
        <w:t xml:space="preserve"> 6.0257.600</w:t>
      </w:r>
      <w:r>
        <w:rPr>
          <w:color w:val="000000" w:themeColor="text1"/>
          <w:u w:color="1F497D"/>
          <w:lang w:val="en-GB"/>
        </w:rPr>
        <w:t xml:space="preserve">) and a </w:t>
      </w:r>
      <w:r w:rsidRPr="000F1AE2">
        <w:rPr>
          <w:color w:val="000000" w:themeColor="text1"/>
          <w:u w:color="1F497D"/>
          <w:lang w:val="en-GB"/>
        </w:rPr>
        <w:t>5-ring conductivity measuring cell with cell constant c = 1.0 cm</w:t>
      </w:r>
      <w:r w:rsidRPr="000F1AE2">
        <w:rPr>
          <w:color w:val="000000" w:themeColor="text1"/>
          <w:u w:color="1F497D"/>
          <w:vertAlign w:val="superscript"/>
          <w:lang w:val="en-GB"/>
        </w:rPr>
        <w:t>-1</w:t>
      </w:r>
      <w:r>
        <w:rPr>
          <w:color w:val="000000" w:themeColor="text1"/>
          <w:u w:color="1F497D"/>
          <w:lang w:val="en-GB"/>
        </w:rPr>
        <w:t xml:space="preserve"> (</w:t>
      </w:r>
      <w:proofErr w:type="spellStart"/>
      <w:r w:rsidRPr="000F1AE2">
        <w:rPr>
          <w:color w:val="000000" w:themeColor="text1"/>
          <w:u w:color="1F497D"/>
          <w:lang w:val="en-GB"/>
        </w:rPr>
        <w:t>Metrohm</w:t>
      </w:r>
      <w:proofErr w:type="spellEnd"/>
      <w:r w:rsidRPr="000F1AE2">
        <w:rPr>
          <w:color w:val="000000" w:themeColor="text1"/>
          <w:u w:color="1F497D"/>
          <w:lang w:val="en-GB"/>
        </w:rPr>
        <w:t xml:space="preserve"> 6.0915.130</w:t>
      </w:r>
      <w:r>
        <w:rPr>
          <w:color w:val="000000" w:themeColor="text1"/>
          <w:u w:color="1F497D"/>
          <w:lang w:val="en-GB"/>
        </w:rPr>
        <w:t xml:space="preserve">), both </w:t>
      </w:r>
      <w:r w:rsidRPr="000F1AE2">
        <w:rPr>
          <w:color w:val="000000" w:themeColor="text1"/>
          <w:u w:color="1F497D"/>
          <w:lang w:val="en-GB"/>
        </w:rPr>
        <w:t>with integrated Pt1000 temperature sensor</w:t>
      </w:r>
      <w:r>
        <w:rPr>
          <w:color w:val="000000" w:themeColor="text1"/>
          <w:u w:color="1F497D"/>
          <w:lang w:val="en-GB"/>
        </w:rPr>
        <w:t>.</w:t>
      </w:r>
    </w:p>
    <w:p w:rsidR="003E762A" w:rsidRPr="007B46E0" w:rsidRDefault="003E762A">
      <w:pPr>
        <w:pStyle w:val="Body"/>
        <w:spacing w:after="0"/>
        <w:rPr>
          <w:bCs/>
          <w:sz w:val="24"/>
          <w:szCs w:val="24"/>
          <w:lang w:val="en-GB"/>
        </w:rPr>
      </w:pPr>
    </w:p>
    <w:p w:rsidR="003E762A" w:rsidRDefault="003E762A">
      <w:pPr>
        <w:pStyle w:val="Body"/>
        <w:spacing w:after="0"/>
        <w:rPr>
          <w:b/>
          <w:bCs/>
          <w:sz w:val="24"/>
          <w:szCs w:val="24"/>
          <w:lang w:val="en-GB"/>
        </w:rPr>
      </w:pPr>
      <w:r w:rsidRPr="0009012D">
        <w:rPr>
          <w:b/>
          <w:bCs/>
          <w:sz w:val="24"/>
          <w:szCs w:val="24"/>
          <w:lang w:val="en-GB"/>
        </w:rPr>
        <w:t>Acknowledgments</w:t>
      </w:r>
    </w:p>
    <w:p w:rsidR="003E762A" w:rsidRPr="006439EA" w:rsidRDefault="003E762A" w:rsidP="006439EA">
      <w:pPr>
        <w:pStyle w:val="Body"/>
        <w:jc w:val="both"/>
        <w:rPr>
          <w:color w:val="000000" w:themeColor="text1"/>
          <w:u w:color="1F497D"/>
          <w:lang w:val="en-GB"/>
        </w:rPr>
      </w:pPr>
      <w:r w:rsidRPr="006439EA">
        <w:rPr>
          <w:color w:val="000000" w:themeColor="text1"/>
          <w:u w:color="1F497D"/>
          <w:lang w:val="en-GB"/>
        </w:rPr>
        <w:t xml:space="preserve">We thank the MSWI plants of the Canton of Zürich who agreed to provide the data presented in this </w:t>
      </w:r>
      <w:r>
        <w:rPr>
          <w:color w:val="000000" w:themeColor="text1"/>
          <w:u w:color="1F497D"/>
          <w:lang w:val="en-GB"/>
        </w:rPr>
        <w:t>article</w:t>
      </w:r>
      <w:r w:rsidRPr="006439EA">
        <w:rPr>
          <w:color w:val="000000" w:themeColor="text1"/>
          <w:u w:color="1F497D"/>
          <w:lang w:val="en-GB"/>
        </w:rPr>
        <w:t>.</w:t>
      </w:r>
    </w:p>
    <w:p w:rsidR="003E762A" w:rsidRPr="007B46E0" w:rsidRDefault="003E762A" w:rsidP="007B46E0">
      <w:pPr>
        <w:pStyle w:val="Body"/>
        <w:spacing w:after="0"/>
        <w:rPr>
          <w:sz w:val="24"/>
          <w:szCs w:val="24"/>
          <w:lang w:val="en-GB"/>
        </w:rPr>
      </w:pPr>
    </w:p>
    <w:p w:rsidR="003E762A" w:rsidRDefault="003E762A">
      <w:pPr>
        <w:pStyle w:val="Body"/>
        <w:spacing w:after="0"/>
        <w:rPr>
          <w:b/>
          <w:bCs/>
          <w:sz w:val="24"/>
          <w:szCs w:val="24"/>
          <w:lang w:val="en-GB"/>
        </w:rPr>
      </w:pPr>
      <w:r>
        <w:rPr>
          <w:b/>
          <w:bCs/>
          <w:sz w:val="24"/>
          <w:szCs w:val="24"/>
          <w:lang w:val="en-GB"/>
        </w:rPr>
        <w:t>Competing Interests</w:t>
      </w:r>
    </w:p>
    <w:p w:rsidR="003E762A" w:rsidRDefault="003E762A" w:rsidP="00681799">
      <w:pPr>
        <w:pStyle w:val="Body"/>
        <w:jc w:val="both"/>
        <w:rPr>
          <w:color w:val="000000" w:themeColor="text1"/>
          <w:u w:color="1F497D"/>
          <w:lang w:val="en-GB"/>
        </w:rPr>
      </w:pPr>
      <w:r w:rsidRPr="00064D81">
        <w:rPr>
          <w:color w:val="000000" w:themeColor="text1"/>
          <w:u w:color="1F497D"/>
          <w:lang w:val="en-GB"/>
        </w:rPr>
        <w:t xml:space="preserve">The authors declare that they have no known competing financial interests or personal </w:t>
      </w:r>
      <w:proofErr w:type="gramStart"/>
      <w:r w:rsidRPr="00064D81">
        <w:rPr>
          <w:color w:val="000000" w:themeColor="text1"/>
          <w:u w:color="1F497D"/>
          <w:lang w:val="en-GB"/>
        </w:rPr>
        <w:t xml:space="preserve">relationships </w:t>
      </w:r>
      <w:r>
        <w:rPr>
          <w:color w:val="000000" w:themeColor="text1"/>
          <w:u w:color="1F497D"/>
          <w:lang w:val="en-GB"/>
        </w:rPr>
        <w:t>which</w:t>
      </w:r>
      <w:proofErr w:type="gramEnd"/>
      <w:r w:rsidRPr="00064D81">
        <w:rPr>
          <w:color w:val="000000" w:themeColor="text1"/>
          <w:u w:color="1F497D"/>
          <w:lang w:val="en-GB"/>
        </w:rPr>
        <w:t xml:space="preserve"> </w:t>
      </w:r>
      <w:r>
        <w:rPr>
          <w:color w:val="000000" w:themeColor="text1"/>
          <w:u w:color="1F497D"/>
          <w:lang w:val="en-GB"/>
        </w:rPr>
        <w:t>have, or could be perceived to have,</w:t>
      </w:r>
      <w:r w:rsidRPr="00064D81">
        <w:rPr>
          <w:color w:val="000000" w:themeColor="text1"/>
          <w:u w:color="1F497D"/>
          <w:lang w:val="en-GB"/>
        </w:rPr>
        <w:t xml:space="preserve"> influenced the work reported in this article.</w:t>
      </w:r>
    </w:p>
    <w:p w:rsidR="003E762A" w:rsidRPr="00681871" w:rsidRDefault="003E762A" w:rsidP="00681871">
      <w:pPr>
        <w:pStyle w:val="Body"/>
        <w:spacing w:after="0"/>
        <w:rPr>
          <w:sz w:val="24"/>
          <w:szCs w:val="24"/>
          <w:lang w:val="en-GB"/>
        </w:rPr>
      </w:pPr>
    </w:p>
    <w:p w:rsidR="003E762A" w:rsidRPr="0009012D" w:rsidRDefault="003E762A">
      <w:pPr>
        <w:pStyle w:val="Body"/>
        <w:spacing w:after="0"/>
        <w:rPr>
          <w:b/>
          <w:bCs/>
          <w:sz w:val="24"/>
          <w:szCs w:val="24"/>
          <w:lang w:val="en-GB"/>
        </w:rPr>
      </w:pPr>
      <w:r w:rsidRPr="0009012D">
        <w:rPr>
          <w:b/>
          <w:bCs/>
          <w:sz w:val="24"/>
          <w:szCs w:val="24"/>
          <w:lang w:val="en-GB"/>
        </w:rPr>
        <w:t>References</w:t>
      </w:r>
    </w:p>
    <w:p w:rsidR="003E762A" w:rsidRPr="003E762A" w:rsidRDefault="003E762A" w:rsidP="00FE1B3B">
      <w:pPr>
        <w:pStyle w:val="EndNoteBibliography"/>
        <w:ind w:left="720" w:hanging="720"/>
        <w:rPr>
          <w:lang w:val="en-US"/>
        </w:rPr>
      </w:pPr>
      <w:r w:rsidRPr="003E762A">
        <w:rPr>
          <w:lang w:val="en-US"/>
        </w:rPr>
        <w:t>[1] Glauser, A., L.S. Morf, G. Weibel, and U. Eggenberger, Ten-years monitoring of MSWI bottom ashes with focus on TOC development and leaching behaviour, Waste Management  (2020).</w:t>
      </w:r>
    </w:p>
    <w:p w:rsidR="003E762A" w:rsidRPr="003E762A" w:rsidRDefault="003E762A" w:rsidP="00FE1B3B">
      <w:pPr>
        <w:pStyle w:val="EndNoteBibliography"/>
        <w:ind w:left="720" w:hanging="720"/>
        <w:rPr>
          <w:lang w:val="en-US"/>
        </w:rPr>
      </w:pPr>
      <w:r w:rsidRPr="003E762A">
        <w:rPr>
          <w:lang w:val="en-US"/>
        </w:rPr>
        <w:t>[2] Swiss Confederation, Ordinance on the Avoidance and the Disposal of Waste,  (2016).</w:t>
      </w:r>
    </w:p>
    <w:p w:rsidR="003E762A" w:rsidRPr="00506B78" w:rsidRDefault="003E762A" w:rsidP="00FE1B3B">
      <w:pPr>
        <w:pStyle w:val="EndNoteBibliography"/>
        <w:ind w:left="720" w:hanging="720"/>
        <w:rPr>
          <w:lang w:val="de-CH"/>
        </w:rPr>
      </w:pPr>
      <w:r w:rsidRPr="00506B78">
        <w:rPr>
          <w:lang w:val="de-CH"/>
        </w:rPr>
        <w:t>[3] Federal Office for the Environment, Messmethoden im Abfall- und Altlastenbereich: Umwelt-Vollzug Nr. 1715,  (2017).</w:t>
      </w:r>
    </w:p>
    <w:p w:rsidR="003E762A" w:rsidRPr="003E762A" w:rsidRDefault="003E762A" w:rsidP="00FE1B3B">
      <w:pPr>
        <w:pStyle w:val="EndNoteBibliography"/>
        <w:ind w:left="720" w:hanging="720"/>
        <w:rPr>
          <w:lang w:val="en-US"/>
        </w:rPr>
      </w:pPr>
      <w:r w:rsidRPr="003E762A">
        <w:rPr>
          <w:lang w:val="en-US"/>
        </w:rPr>
        <w:t>[4] ISO 11885, Water quality — Determination of selected elements by inductively coupled plasma optical emission spectrometry (ICP-OES), International Organization for Standardization (2007).</w:t>
      </w:r>
    </w:p>
    <w:p w:rsidR="003E762A" w:rsidRPr="003E762A" w:rsidRDefault="003E762A" w:rsidP="00FE1B3B">
      <w:pPr>
        <w:pStyle w:val="EndNoteBibliography"/>
        <w:ind w:left="720" w:hanging="720"/>
        <w:rPr>
          <w:lang w:val="en-US"/>
        </w:rPr>
      </w:pPr>
      <w:r w:rsidRPr="003E762A">
        <w:rPr>
          <w:lang w:val="en-US"/>
        </w:rPr>
        <w:t>[5] EN ISO 17294-2, Water quality - Application of inductively coupled plasma mass spectrometry (ICP-MS) - Part 2: Determination of selected elements including uranium isotopes, European Committee for Standardization (2016).</w:t>
      </w:r>
    </w:p>
    <w:p w:rsidR="003E762A" w:rsidRPr="003E762A" w:rsidRDefault="003E762A" w:rsidP="00FE1B3B">
      <w:pPr>
        <w:pStyle w:val="EndNoteBibliography"/>
        <w:ind w:left="720" w:hanging="720"/>
        <w:rPr>
          <w:lang w:val="en-US"/>
        </w:rPr>
      </w:pPr>
      <w:r w:rsidRPr="003E762A">
        <w:rPr>
          <w:lang w:val="en-US"/>
        </w:rPr>
        <w:t>[6] EN 15936, Sludge, treated biowaste, soil and waste - Determination of total organic carbon (TOC) by dry combustion, European Committee for Standardization (2012).</w:t>
      </w:r>
    </w:p>
    <w:p w:rsidR="003E762A" w:rsidRPr="00506B78" w:rsidRDefault="003E762A" w:rsidP="00FE1B3B">
      <w:pPr>
        <w:pStyle w:val="EndNoteBibliography"/>
        <w:ind w:left="720" w:hanging="720"/>
        <w:rPr>
          <w:lang w:val="de-CH"/>
        </w:rPr>
      </w:pPr>
      <w:r w:rsidRPr="00506B78">
        <w:rPr>
          <w:lang w:val="de-CH"/>
        </w:rPr>
        <w:t>[7] DIN 19539, Untersuchung von Feststoffen – Temperaturabhängige Differenzierung des Gesamtkohlenstoffs (TOC400, ROC, TIC900), Deutsches Institut für Normung (2016).</w:t>
      </w:r>
    </w:p>
    <w:p w:rsidR="003E762A" w:rsidRPr="003E762A" w:rsidRDefault="003E762A" w:rsidP="00FE1B3B">
      <w:pPr>
        <w:pStyle w:val="EndNoteBibliography"/>
        <w:ind w:left="720" w:hanging="720"/>
        <w:rPr>
          <w:lang w:val="en-US"/>
        </w:rPr>
      </w:pPr>
      <w:r w:rsidRPr="003E762A">
        <w:rPr>
          <w:lang w:val="en-US"/>
        </w:rPr>
        <w:t>[8] EN 1484, Water analysis - Guidelines for the determination of total organic carbon (TOC) and dissolved organic carbon (DOC), European Committee for Standardization (1997).</w:t>
      </w:r>
    </w:p>
    <w:p w:rsidR="003E762A" w:rsidRPr="00506B78" w:rsidRDefault="003E762A" w:rsidP="00FE1B3B">
      <w:pPr>
        <w:pStyle w:val="EndNoteBibliography"/>
        <w:ind w:left="720" w:hanging="720"/>
        <w:rPr>
          <w:lang w:val="de-CH"/>
        </w:rPr>
      </w:pPr>
      <w:r w:rsidRPr="00506B78">
        <w:rPr>
          <w:lang w:val="de-CH"/>
        </w:rPr>
        <w:t>[9] DIN 38406-5, Deutsche Einheitsverfahren zur Wasser-, Abwasser- und Schlammuntersuchung; Kationen (Gruppe E); Bestimmung des Ammonium-Stickstoffs (E 5), Deutsches Institut für Normung (1983).</w:t>
      </w:r>
    </w:p>
    <w:p w:rsidR="003E762A" w:rsidRPr="00506B78" w:rsidRDefault="003E762A" w:rsidP="00FE1B3B">
      <w:pPr>
        <w:pStyle w:val="EndNoteBibliography"/>
        <w:ind w:left="720" w:hanging="720"/>
        <w:rPr>
          <w:lang w:val="de-CH"/>
        </w:rPr>
      </w:pPr>
      <w:r w:rsidRPr="00506B78">
        <w:rPr>
          <w:lang w:val="de-CH"/>
        </w:rPr>
        <w:t>[10] DIN 38405-1, Deutsche Einheitsverfahren zur Wasser-, Abwasser- und Schlammuntersuchung; Anionen (Gruppe D); Bestimmung der Chlorid-Ionen (D 1), Deutsches Institut für Normung (1985).</w:t>
      </w:r>
    </w:p>
    <w:p w:rsidR="003E762A" w:rsidRPr="003E762A" w:rsidRDefault="003E762A" w:rsidP="00FE1B3B">
      <w:pPr>
        <w:pStyle w:val="EndNoteBibliography"/>
        <w:ind w:left="720" w:hanging="720"/>
        <w:rPr>
          <w:lang w:val="en-US"/>
        </w:rPr>
      </w:pPr>
      <w:r w:rsidRPr="003E762A">
        <w:rPr>
          <w:lang w:val="en-US"/>
        </w:rPr>
        <w:lastRenderedPageBreak/>
        <w:t>[11] ISO 10304-1, Water quality — Determination of dissolved anions by liquid chromatography of ions — Part 1: Determination of bromide, chloride, fluoride, nitrate, nitrite, phosphate and sulfate, International Organization for Standardization (2007).</w:t>
      </w:r>
    </w:p>
    <w:p w:rsidR="00D617F7" w:rsidRDefault="003E762A" w:rsidP="003E762A">
      <w:pPr>
        <w:pStyle w:val="EndNoteBibliography"/>
        <w:ind w:left="720" w:hanging="720"/>
      </w:pPr>
      <w:r w:rsidRPr="00FE1B3B">
        <w:t>[12] Bachema AG, Dienstleistungsverzeichnis 17/19,  (2017).</w:t>
      </w:r>
    </w:p>
    <w:sectPr w:rsidR="00D617F7" w:rsidSect="003E762A">
      <w:headerReference w:type="default" r:id="rId13"/>
      <w:foot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FAC" w:rsidRDefault="00127FAC">
      <w:r>
        <w:separator/>
      </w:r>
    </w:p>
  </w:endnote>
  <w:endnote w:type="continuationSeparator" w:id="0">
    <w:p w:rsidR="00127FAC" w:rsidRDefault="00127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BED" w:rsidRDefault="00127FA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FAC" w:rsidRDefault="00127FAC">
      <w:r>
        <w:separator/>
      </w:r>
    </w:p>
  </w:footnote>
  <w:footnote w:type="continuationSeparator" w:id="0">
    <w:p w:rsidR="00127FAC" w:rsidRDefault="00127F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BED" w:rsidRDefault="00127FAC">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2FD7"/>
    <w:multiLevelType w:val="hybridMultilevel"/>
    <w:tmpl w:val="E94E00D6"/>
    <w:styleLink w:val="ImportedStyle3"/>
    <w:lvl w:ilvl="0" w:tplc="558440C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88B5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BE50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42F4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4257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3A1E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02BF2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7219E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38B37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0B53089"/>
    <w:multiLevelType w:val="hybridMultilevel"/>
    <w:tmpl w:val="BE5C7AC0"/>
    <w:numStyleLink w:val="ImportedStyle2"/>
  </w:abstractNum>
  <w:abstractNum w:abstractNumId="2" w15:restartNumberingAfterBreak="0">
    <w:nsid w:val="16BD0ED0"/>
    <w:multiLevelType w:val="hybridMultilevel"/>
    <w:tmpl w:val="79BA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D28CE"/>
    <w:multiLevelType w:val="hybridMultilevel"/>
    <w:tmpl w:val="4A82E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140801"/>
    <w:multiLevelType w:val="hybridMultilevel"/>
    <w:tmpl w:val="5EE60AB2"/>
    <w:styleLink w:val="ImportedStyle1"/>
    <w:lvl w:ilvl="0" w:tplc="BB60F14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1C5C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0CC2F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EA09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A21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2DD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C46CE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7EA69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DA29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7490F31"/>
    <w:multiLevelType w:val="hybridMultilevel"/>
    <w:tmpl w:val="A4A6E04C"/>
    <w:lvl w:ilvl="0" w:tplc="676295C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0760CC"/>
    <w:multiLevelType w:val="hybridMultilevel"/>
    <w:tmpl w:val="6B16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254F3"/>
    <w:multiLevelType w:val="hybridMultilevel"/>
    <w:tmpl w:val="5EE60AB2"/>
    <w:numStyleLink w:val="ImportedStyle1"/>
  </w:abstractNum>
  <w:abstractNum w:abstractNumId="8" w15:restartNumberingAfterBreak="0">
    <w:nsid w:val="66952F8F"/>
    <w:multiLevelType w:val="hybridMultilevel"/>
    <w:tmpl w:val="8716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380ECF"/>
    <w:multiLevelType w:val="hybridMultilevel"/>
    <w:tmpl w:val="BE5C7AC0"/>
    <w:styleLink w:val="ImportedStyle2"/>
    <w:lvl w:ilvl="0" w:tplc="73F63FC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E23A88">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0CD002">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5C2F58">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A65EDE">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0C6516">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7500160">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2A2E68">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9C7F24">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4F95059"/>
    <w:multiLevelType w:val="hybridMultilevel"/>
    <w:tmpl w:val="86E2143C"/>
    <w:lvl w:ilvl="0" w:tplc="9308090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6922110"/>
    <w:multiLevelType w:val="hybridMultilevel"/>
    <w:tmpl w:val="E94E00D6"/>
    <w:numStyleLink w:val="ImportedStyle3"/>
  </w:abstractNum>
  <w:num w:numId="1">
    <w:abstractNumId w:val="4"/>
  </w:num>
  <w:num w:numId="2">
    <w:abstractNumId w:val="7"/>
  </w:num>
  <w:num w:numId="3">
    <w:abstractNumId w:val="9"/>
  </w:num>
  <w:num w:numId="4">
    <w:abstractNumId w:val="1"/>
  </w:num>
  <w:num w:numId="5">
    <w:abstractNumId w:val="0"/>
  </w:num>
  <w:num w:numId="6">
    <w:abstractNumId w:val="11"/>
  </w:num>
  <w:num w:numId="7">
    <w:abstractNumId w:val="3"/>
  </w:num>
  <w:num w:numId="8">
    <w:abstractNumId w:val="5"/>
  </w:num>
  <w:num w:numId="9">
    <w:abstractNumId w:val="10"/>
  </w:num>
  <w:num w:numId="10">
    <w:abstractNumId w:val="2"/>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3E762A"/>
    <w:rsid w:val="00127FAC"/>
    <w:rsid w:val="003E762A"/>
    <w:rsid w:val="00920E8A"/>
    <w:rsid w:val="00AB02E2"/>
    <w:rsid w:val="00BB0625"/>
    <w:rsid w:val="00D617F7"/>
    <w:rsid w:val="00E02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7BCD"/>
  <w15:chartTrackingRefBased/>
  <w15:docId w15:val="{629BC2DF-99F1-495A-A4ED-F19404E2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62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762A"/>
    <w:rPr>
      <w:u w:val="single"/>
    </w:rPr>
  </w:style>
  <w:style w:type="paragraph" w:customStyle="1" w:styleId="HeaderFooter">
    <w:name w:val="Header &amp; Footer"/>
    <w:rsid w:val="003E762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rPr>
  </w:style>
  <w:style w:type="paragraph" w:customStyle="1" w:styleId="Body">
    <w:name w:val="Body"/>
    <w:link w:val="BodyChar"/>
    <w:rsid w:val="003E762A"/>
    <w:pPr>
      <w:pBdr>
        <w:top w:val="nil"/>
        <w:left w:val="nil"/>
        <w:bottom w:val="nil"/>
        <w:right w:val="nil"/>
        <w:between w:val="nil"/>
        <w:bar w:val="nil"/>
      </w:pBdr>
      <w:spacing w:after="200" w:line="276" w:lineRule="auto"/>
    </w:pPr>
    <w:rPr>
      <w:rFonts w:ascii="Calibri" w:eastAsia="Calibri" w:hAnsi="Calibri" w:cs="Calibri"/>
      <w:color w:val="000000"/>
      <w:u w:color="000000"/>
      <w:bdr w:val="nil"/>
      <w:lang w:val="it-IT" w:eastAsia="en-GB"/>
    </w:rPr>
  </w:style>
  <w:style w:type="character" w:customStyle="1" w:styleId="Link">
    <w:name w:val="Link"/>
    <w:rsid w:val="003E762A"/>
    <w:rPr>
      <w:color w:val="0000FF"/>
      <w:u w:val="single" w:color="0000FF"/>
    </w:rPr>
  </w:style>
  <w:style w:type="character" w:customStyle="1" w:styleId="Hyperlink0">
    <w:name w:val="Hyperlink.0"/>
    <w:basedOn w:val="Link"/>
    <w:rsid w:val="003E762A"/>
    <w:rPr>
      <w:rFonts w:ascii="Calibri" w:eastAsia="Calibri" w:hAnsi="Calibri" w:cs="Calibri"/>
      <w:i/>
      <w:iCs/>
      <w:color w:val="0070C0"/>
      <w:u w:val="single" w:color="0070C0"/>
    </w:rPr>
  </w:style>
  <w:style w:type="paragraph" w:styleId="ListParagraph">
    <w:name w:val="List Paragraph"/>
    <w:uiPriority w:val="34"/>
    <w:qFormat/>
    <w:rsid w:val="003E762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eastAsia="en-GB"/>
    </w:rPr>
  </w:style>
  <w:style w:type="numbering" w:customStyle="1" w:styleId="ImportedStyle1">
    <w:name w:val="Imported Style 1"/>
    <w:rsid w:val="003E762A"/>
    <w:pPr>
      <w:numPr>
        <w:numId w:val="1"/>
      </w:numPr>
    </w:pPr>
  </w:style>
  <w:style w:type="character" w:customStyle="1" w:styleId="Hyperlink1">
    <w:name w:val="Hyperlink.1"/>
    <w:basedOn w:val="Link"/>
    <w:rsid w:val="003E762A"/>
    <w:rPr>
      <w:color w:val="0070C0"/>
      <w:u w:val="single" w:color="0070C0"/>
    </w:rPr>
  </w:style>
  <w:style w:type="character" w:customStyle="1" w:styleId="Hyperlink2">
    <w:name w:val="Hyperlink.2"/>
    <w:basedOn w:val="Link"/>
    <w:rsid w:val="003E762A"/>
    <w:rPr>
      <w:rFonts w:ascii="Calibri" w:eastAsia="Calibri" w:hAnsi="Calibri" w:cs="Calibri"/>
      <w:b/>
      <w:bCs/>
      <w:color w:val="1F497D"/>
      <w:sz w:val="32"/>
      <w:szCs w:val="32"/>
      <w:u w:val="single" w:color="1F497D"/>
    </w:rPr>
  </w:style>
  <w:style w:type="character" w:customStyle="1" w:styleId="Hyperlink3">
    <w:name w:val="Hyperlink.3"/>
    <w:basedOn w:val="Link"/>
    <w:rsid w:val="003E762A"/>
    <w:rPr>
      <w:rFonts w:ascii="Calibri" w:eastAsia="Calibri" w:hAnsi="Calibri" w:cs="Calibri"/>
      <w:b/>
      <w:bCs/>
      <w:color w:val="0070C0"/>
      <w:sz w:val="24"/>
      <w:szCs w:val="24"/>
      <w:u w:val="single" w:color="0070C0"/>
    </w:rPr>
  </w:style>
  <w:style w:type="character" w:customStyle="1" w:styleId="Hyperlink4">
    <w:name w:val="Hyperlink.4"/>
    <w:basedOn w:val="Link"/>
    <w:rsid w:val="003E762A"/>
    <w:rPr>
      <w:color w:val="0070C0"/>
      <w:u w:val="single" w:color="0070C0"/>
      <w:lang w:val="en-US"/>
    </w:rPr>
  </w:style>
  <w:style w:type="character" w:customStyle="1" w:styleId="Hyperlink5">
    <w:name w:val="Hyperlink.5"/>
    <w:basedOn w:val="Link"/>
    <w:rsid w:val="003E762A"/>
    <w:rPr>
      <w:color w:val="0000FF"/>
      <w:u w:val="single" w:color="0000FF"/>
      <w:shd w:val="clear" w:color="auto" w:fill="FFFF00"/>
    </w:rPr>
  </w:style>
  <w:style w:type="numbering" w:customStyle="1" w:styleId="ImportedStyle2">
    <w:name w:val="Imported Style 2"/>
    <w:rsid w:val="003E762A"/>
    <w:pPr>
      <w:numPr>
        <w:numId w:val="3"/>
      </w:numPr>
    </w:pPr>
  </w:style>
  <w:style w:type="character" w:customStyle="1" w:styleId="Hyperlink6">
    <w:name w:val="Hyperlink.6"/>
    <w:basedOn w:val="Link"/>
    <w:rsid w:val="003E762A"/>
    <w:rPr>
      <w:color w:val="1F497D"/>
      <w:u w:val="single" w:color="1F497D"/>
      <w:lang w:val="en-US"/>
    </w:rPr>
  </w:style>
  <w:style w:type="character" w:customStyle="1" w:styleId="Hyperlink7">
    <w:name w:val="Hyperlink.7"/>
    <w:basedOn w:val="Link"/>
    <w:rsid w:val="003E762A"/>
    <w:rPr>
      <w:rFonts w:ascii="Calibri" w:eastAsia="Calibri" w:hAnsi="Calibri" w:cs="Calibri"/>
      <w:b/>
      <w:bCs/>
      <w:color w:val="0000FF"/>
      <w:u w:val="single" w:color="0000FF"/>
      <w:lang w:val="en-US"/>
    </w:rPr>
  </w:style>
  <w:style w:type="numbering" w:customStyle="1" w:styleId="ImportedStyle3">
    <w:name w:val="Imported Style 3"/>
    <w:rsid w:val="003E762A"/>
    <w:pPr>
      <w:numPr>
        <w:numId w:val="5"/>
      </w:numPr>
    </w:pPr>
  </w:style>
  <w:style w:type="paragraph" w:customStyle="1" w:styleId="Default">
    <w:name w:val="Default"/>
    <w:rsid w:val="003E762A"/>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GB" w:eastAsia="en-GB"/>
    </w:rPr>
  </w:style>
  <w:style w:type="paragraph" w:styleId="CommentText">
    <w:name w:val="annotation text"/>
    <w:basedOn w:val="Normal"/>
    <w:link w:val="CommentTextChar"/>
    <w:uiPriority w:val="99"/>
    <w:semiHidden/>
    <w:unhideWhenUsed/>
    <w:rsid w:val="003E762A"/>
    <w:rPr>
      <w:sz w:val="20"/>
      <w:szCs w:val="20"/>
    </w:rPr>
  </w:style>
  <w:style w:type="character" w:customStyle="1" w:styleId="CommentTextChar">
    <w:name w:val="Comment Text Char"/>
    <w:basedOn w:val="DefaultParagraphFont"/>
    <w:link w:val="CommentText"/>
    <w:uiPriority w:val="99"/>
    <w:semiHidden/>
    <w:rsid w:val="003E762A"/>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3E762A"/>
    <w:rPr>
      <w:sz w:val="16"/>
      <w:szCs w:val="16"/>
    </w:rPr>
  </w:style>
  <w:style w:type="paragraph" w:styleId="BalloonText">
    <w:name w:val="Balloon Text"/>
    <w:basedOn w:val="Normal"/>
    <w:link w:val="BalloonTextChar"/>
    <w:uiPriority w:val="99"/>
    <w:semiHidden/>
    <w:unhideWhenUsed/>
    <w:rsid w:val="003E76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62A"/>
    <w:rPr>
      <w:rFonts w:ascii="Segoe UI" w:eastAsia="Arial Unicode MS" w:hAnsi="Segoe UI" w:cs="Segoe UI"/>
      <w:sz w:val="18"/>
      <w:szCs w:val="18"/>
      <w:bdr w:val="nil"/>
    </w:rPr>
  </w:style>
  <w:style w:type="character" w:customStyle="1" w:styleId="UnresolvedMention1">
    <w:name w:val="Unresolved Mention1"/>
    <w:basedOn w:val="DefaultParagraphFont"/>
    <w:uiPriority w:val="99"/>
    <w:semiHidden/>
    <w:unhideWhenUsed/>
    <w:rsid w:val="003E762A"/>
    <w:rPr>
      <w:color w:val="605E5C"/>
      <w:shd w:val="clear" w:color="auto" w:fill="E1DFDD"/>
    </w:rPr>
  </w:style>
  <w:style w:type="character" w:styleId="FollowedHyperlink">
    <w:name w:val="FollowedHyperlink"/>
    <w:basedOn w:val="DefaultParagraphFont"/>
    <w:uiPriority w:val="99"/>
    <w:semiHidden/>
    <w:unhideWhenUsed/>
    <w:rsid w:val="003E762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E762A"/>
    <w:rPr>
      <w:b/>
      <w:bCs/>
    </w:rPr>
  </w:style>
  <w:style w:type="character" w:customStyle="1" w:styleId="CommentSubjectChar">
    <w:name w:val="Comment Subject Char"/>
    <w:basedOn w:val="CommentTextChar"/>
    <w:link w:val="CommentSubject"/>
    <w:uiPriority w:val="99"/>
    <w:semiHidden/>
    <w:rsid w:val="003E762A"/>
    <w:rPr>
      <w:rFonts w:ascii="Times New Roman" w:eastAsia="Arial Unicode MS" w:hAnsi="Times New Roman" w:cs="Times New Roman"/>
      <w:b/>
      <w:bCs/>
      <w:sz w:val="20"/>
      <w:szCs w:val="20"/>
      <w:bdr w:val="nil"/>
    </w:rPr>
  </w:style>
  <w:style w:type="character" w:styleId="PlaceholderText">
    <w:name w:val="Placeholder Text"/>
    <w:basedOn w:val="DefaultParagraphFont"/>
    <w:uiPriority w:val="99"/>
    <w:semiHidden/>
    <w:rsid w:val="003E762A"/>
    <w:rPr>
      <w:color w:val="808080"/>
    </w:rPr>
  </w:style>
  <w:style w:type="paragraph" w:styleId="NormalWeb">
    <w:name w:val="Normal (Web)"/>
    <w:basedOn w:val="Normal"/>
    <w:uiPriority w:val="99"/>
    <w:semiHidden/>
    <w:unhideWhenUsed/>
    <w:rsid w:val="003E762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
    <w:name w:val="Unresolved Mention"/>
    <w:basedOn w:val="DefaultParagraphFont"/>
    <w:uiPriority w:val="99"/>
    <w:semiHidden/>
    <w:unhideWhenUsed/>
    <w:rsid w:val="003E762A"/>
    <w:rPr>
      <w:color w:val="605E5C"/>
      <w:shd w:val="clear" w:color="auto" w:fill="E1DFDD"/>
    </w:rPr>
  </w:style>
  <w:style w:type="paragraph" w:styleId="NoSpacing">
    <w:name w:val="No Spacing"/>
    <w:uiPriority w:val="1"/>
    <w:qFormat/>
    <w:rsid w:val="003E762A"/>
    <w:pPr>
      <w:spacing w:after="0" w:line="240" w:lineRule="auto"/>
    </w:pPr>
  </w:style>
  <w:style w:type="paragraph" w:customStyle="1" w:styleId="EndNoteBibliographyTitle">
    <w:name w:val="EndNote Bibliography Title"/>
    <w:basedOn w:val="Normal"/>
    <w:link w:val="EndNoteBibliographyTitleChar"/>
    <w:rsid w:val="003E762A"/>
    <w:pPr>
      <w:jc w:val="center"/>
    </w:pPr>
    <w:rPr>
      <w:rFonts w:ascii="Calibri" w:hAnsi="Calibri" w:cs="Calibri"/>
      <w:noProof/>
      <w:color w:val="000000"/>
      <w:sz w:val="22"/>
      <w:u w:color="000000"/>
      <w:lang w:val="it-IT" w:eastAsia="en-GB"/>
    </w:rPr>
  </w:style>
  <w:style w:type="character" w:customStyle="1" w:styleId="BodyChar">
    <w:name w:val="Body Char"/>
    <w:basedOn w:val="DefaultParagraphFont"/>
    <w:link w:val="Body"/>
    <w:rsid w:val="003E762A"/>
    <w:rPr>
      <w:rFonts w:ascii="Calibri" w:eastAsia="Calibri" w:hAnsi="Calibri" w:cs="Calibri"/>
      <w:color w:val="000000"/>
      <w:u w:color="000000"/>
      <w:bdr w:val="nil"/>
      <w:lang w:val="it-IT" w:eastAsia="en-GB"/>
    </w:rPr>
  </w:style>
  <w:style w:type="character" w:customStyle="1" w:styleId="EndNoteBibliographyTitleChar">
    <w:name w:val="EndNote Bibliography Title Char"/>
    <w:basedOn w:val="BodyChar"/>
    <w:link w:val="EndNoteBibliographyTitle"/>
    <w:rsid w:val="003E762A"/>
    <w:rPr>
      <w:rFonts w:ascii="Calibri" w:eastAsia="Arial Unicode MS" w:hAnsi="Calibri" w:cs="Calibri"/>
      <w:noProof/>
      <w:color w:val="000000"/>
      <w:szCs w:val="24"/>
      <w:u w:color="000000"/>
      <w:bdr w:val="nil"/>
      <w:lang w:val="it-IT" w:eastAsia="en-GB"/>
    </w:rPr>
  </w:style>
  <w:style w:type="paragraph" w:customStyle="1" w:styleId="EndNoteBibliography">
    <w:name w:val="EndNote Bibliography"/>
    <w:basedOn w:val="Normal"/>
    <w:link w:val="EndNoteBibliographyChar"/>
    <w:rsid w:val="003E762A"/>
    <w:rPr>
      <w:rFonts w:ascii="Calibri" w:hAnsi="Calibri" w:cs="Calibri"/>
      <w:noProof/>
      <w:color w:val="000000"/>
      <w:sz w:val="22"/>
      <w:u w:color="000000"/>
      <w:lang w:val="it-IT" w:eastAsia="en-GB"/>
    </w:rPr>
  </w:style>
  <w:style w:type="character" w:customStyle="1" w:styleId="EndNoteBibliographyChar">
    <w:name w:val="EndNote Bibliography Char"/>
    <w:basedOn w:val="BodyChar"/>
    <w:link w:val="EndNoteBibliography"/>
    <w:rsid w:val="003E762A"/>
    <w:rPr>
      <w:rFonts w:ascii="Calibri" w:eastAsia="Arial Unicode MS" w:hAnsi="Calibri" w:cs="Calibri"/>
      <w:noProof/>
      <w:color w:val="000000"/>
      <w:szCs w:val="24"/>
      <w:u w:color="000000"/>
      <w:bdr w:val="nil"/>
      <w:lang w:val="it-IT" w:eastAsia="en-GB"/>
    </w:rPr>
  </w:style>
  <w:style w:type="table" w:customStyle="1" w:styleId="Tabellenraster1">
    <w:name w:val="Tabellenraster1"/>
    <w:basedOn w:val="TableNormal"/>
    <w:next w:val="TableGrid"/>
    <w:uiPriority w:val="59"/>
    <w:rsid w:val="003E762A"/>
    <w:pPr>
      <w:spacing w:after="0" w:line="240" w:lineRule="auto"/>
    </w:pPr>
    <w:rPr>
      <w:rFonts w:ascii="Calibri Light" w:hAnsi="Calibri Light" w:cs="Times New Roman"/>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762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E762A"/>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aglauser</dc:creator>
  <cp:keywords/>
  <dc:description/>
  <cp:lastModifiedBy>aglauser</cp:lastModifiedBy>
  <cp:revision>2</cp:revision>
  <dcterms:created xsi:type="dcterms:W3CDTF">2020-08-10T08:38:00Z</dcterms:created>
  <dcterms:modified xsi:type="dcterms:W3CDTF">2020-09-07T09:14:00Z</dcterms:modified>
</cp:coreProperties>
</file>