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7C4C38" w14:textId="3B08AD62" w:rsidR="00FC6F97" w:rsidRPr="00A02BDC" w:rsidRDefault="0046536B" w:rsidP="00910AD3">
      <w:pPr>
        <w:spacing w:line="259" w:lineRule="auto"/>
        <w:jc w:val="both"/>
        <w:rPr>
          <w:b/>
          <w:szCs w:val="24"/>
          <w:lang w:val="en-AU"/>
        </w:rPr>
      </w:pPr>
      <w:r w:rsidRPr="00A02BDC">
        <w:rPr>
          <w:b/>
          <w:szCs w:val="24"/>
          <w:lang w:val="en-AU"/>
        </w:rPr>
        <w:t xml:space="preserve">Release </w:t>
      </w:r>
      <w:r w:rsidR="00DA3282" w:rsidRPr="00A02BDC">
        <w:rPr>
          <w:b/>
          <w:szCs w:val="24"/>
          <w:lang w:val="en-AU"/>
        </w:rPr>
        <w:t>of soy</w:t>
      </w:r>
      <w:r w:rsidR="00DA6FDD" w:rsidRPr="00A02BDC">
        <w:rPr>
          <w:b/>
          <w:szCs w:val="24"/>
          <w:lang w:val="en-AU"/>
        </w:rPr>
        <w:t>bean</w:t>
      </w:r>
      <w:r w:rsidR="00DA3282" w:rsidRPr="00A02BDC">
        <w:rPr>
          <w:b/>
          <w:szCs w:val="24"/>
          <w:lang w:val="en-AU"/>
        </w:rPr>
        <w:t xml:space="preserve"> isoflavone</w:t>
      </w:r>
      <w:r w:rsidRPr="00A02BDC">
        <w:rPr>
          <w:b/>
          <w:szCs w:val="24"/>
          <w:lang w:val="en-AU"/>
        </w:rPr>
        <w:t xml:space="preserve">s using a </w:t>
      </w:r>
      <w:r w:rsidRPr="00A02BDC">
        <w:rPr>
          <w:rFonts w:cs="Times New Roman"/>
          <w:b/>
          <w:szCs w:val="24"/>
          <w:lang w:val="en-AU"/>
        </w:rPr>
        <w:t>β</w:t>
      </w:r>
      <w:r w:rsidRPr="00A02BDC">
        <w:rPr>
          <w:b/>
          <w:szCs w:val="24"/>
          <w:lang w:val="en-AU"/>
        </w:rPr>
        <w:t xml:space="preserve">-Glucosidase from </w:t>
      </w:r>
      <w:r w:rsidRPr="00A02BDC">
        <w:rPr>
          <w:b/>
          <w:i/>
          <w:iCs/>
          <w:szCs w:val="24"/>
          <w:lang w:val="en-AU"/>
        </w:rPr>
        <w:t>Alicyclobacillus herbarius</w:t>
      </w:r>
      <w:r w:rsidR="009C2D6E" w:rsidRPr="00A02BDC">
        <w:rPr>
          <w:b/>
          <w:szCs w:val="24"/>
          <w:lang w:val="en-AU"/>
        </w:rPr>
        <w:t>.</w:t>
      </w:r>
    </w:p>
    <w:p w14:paraId="741FBFF3" w14:textId="77777777" w:rsidR="00A445F9" w:rsidRPr="00A02BDC" w:rsidRDefault="00A445F9" w:rsidP="00A445F9">
      <w:pPr>
        <w:spacing w:line="259" w:lineRule="auto"/>
        <w:rPr>
          <w:b/>
        </w:rPr>
      </w:pPr>
    </w:p>
    <w:p w14:paraId="3166D05A" w14:textId="77777777" w:rsidR="008E39B9" w:rsidRPr="00A02BDC" w:rsidRDefault="00FC6F97" w:rsidP="00046F2A">
      <w:pPr>
        <w:jc w:val="both"/>
        <w:rPr>
          <w:lang w:val="it-IT"/>
        </w:rPr>
      </w:pPr>
      <w:r w:rsidRPr="00A02BDC">
        <w:rPr>
          <w:lang w:val="it-IT"/>
        </w:rPr>
        <w:t xml:space="preserve">Lidia </w:t>
      </w:r>
      <w:proofErr w:type="gramStart"/>
      <w:r w:rsidRPr="00A02BDC">
        <w:rPr>
          <w:lang w:val="it-IT"/>
        </w:rPr>
        <w:t>D</w:t>
      </w:r>
      <w:r w:rsidR="00DA3282" w:rsidRPr="00A02BDC">
        <w:rPr>
          <w:lang w:val="it-IT"/>
        </w:rPr>
        <w:t>elgado</w:t>
      </w:r>
      <w:r w:rsidRPr="00A02BDC">
        <w:rPr>
          <w:vertAlign w:val="superscript"/>
          <w:lang w:val="it-IT"/>
        </w:rPr>
        <w:t>a</w:t>
      </w:r>
      <w:r w:rsidR="008E39B9" w:rsidRPr="00A02BDC">
        <w:rPr>
          <w:vertAlign w:val="superscript"/>
          <w:lang w:val="it-IT"/>
        </w:rPr>
        <w:t>,</w:t>
      </w:r>
      <w:r w:rsidR="008E39B9" w:rsidRPr="00A02BDC">
        <w:rPr>
          <w:rFonts w:cs="Times New Roman"/>
          <w:vertAlign w:val="superscript"/>
          <w:lang w:val="it-IT"/>
        </w:rPr>
        <w:t>#</w:t>
      </w:r>
      <w:proofErr w:type="gramEnd"/>
      <w:r w:rsidRPr="00A02BDC">
        <w:rPr>
          <w:lang w:val="it-IT"/>
        </w:rPr>
        <w:t xml:space="preserve">, </w:t>
      </w:r>
      <w:r w:rsidR="00DA3282" w:rsidRPr="00A02BDC">
        <w:rPr>
          <w:lang w:val="it-IT"/>
        </w:rPr>
        <w:t>Christian</w:t>
      </w:r>
      <w:r w:rsidR="00CD6DB0" w:rsidRPr="00A02BDC">
        <w:rPr>
          <w:lang w:val="it-IT"/>
        </w:rPr>
        <w:t xml:space="preserve"> M.</w:t>
      </w:r>
      <w:r w:rsidR="00DA3282" w:rsidRPr="00A02BDC">
        <w:rPr>
          <w:lang w:val="it-IT"/>
        </w:rPr>
        <w:t xml:space="preserve"> Heckmann</w:t>
      </w:r>
      <w:r w:rsidR="00430B57" w:rsidRPr="00A02BDC">
        <w:rPr>
          <w:vertAlign w:val="superscript"/>
          <w:lang w:val="it-IT"/>
        </w:rPr>
        <w:t>a</w:t>
      </w:r>
      <w:r w:rsidR="008E39B9" w:rsidRPr="00A02BDC">
        <w:rPr>
          <w:vertAlign w:val="superscript"/>
          <w:lang w:val="it-IT"/>
        </w:rPr>
        <w:t>,</w:t>
      </w:r>
      <w:r w:rsidR="008E39B9" w:rsidRPr="00A02BDC">
        <w:rPr>
          <w:rFonts w:cs="Times New Roman"/>
          <w:vertAlign w:val="superscript"/>
          <w:lang w:val="it-IT"/>
        </w:rPr>
        <w:t>#</w:t>
      </w:r>
      <w:r w:rsidRPr="00A02BDC">
        <w:rPr>
          <w:lang w:val="it-IT"/>
        </w:rPr>
        <w:t>,</w:t>
      </w:r>
      <w:r w:rsidR="00430B57" w:rsidRPr="00A02BDC">
        <w:rPr>
          <w:lang w:val="it-IT"/>
        </w:rPr>
        <w:t xml:space="preserve"> </w:t>
      </w:r>
      <w:r w:rsidR="00417111" w:rsidRPr="00A02BDC">
        <w:rPr>
          <w:lang w:val="it-IT"/>
        </w:rPr>
        <w:t>Flavio Di Pisa</w:t>
      </w:r>
      <w:r w:rsidR="00417111" w:rsidRPr="00A02BDC">
        <w:rPr>
          <w:vertAlign w:val="superscript"/>
          <w:lang w:val="it-IT"/>
        </w:rPr>
        <w:t>b</w:t>
      </w:r>
      <w:r w:rsidR="00417111" w:rsidRPr="00A02BDC">
        <w:rPr>
          <w:lang w:val="it-IT"/>
        </w:rPr>
        <w:t xml:space="preserve">, </w:t>
      </w:r>
      <w:r w:rsidR="00430B57" w:rsidRPr="00A02BDC">
        <w:rPr>
          <w:lang w:val="it-IT"/>
        </w:rPr>
        <w:t>Louise Gourl</w:t>
      </w:r>
      <w:r w:rsidR="000E7168" w:rsidRPr="00A02BDC">
        <w:rPr>
          <w:lang w:val="it-IT"/>
        </w:rPr>
        <w:t>a</w:t>
      </w:r>
      <w:r w:rsidR="00430B57" w:rsidRPr="00A02BDC">
        <w:rPr>
          <w:lang w:val="it-IT"/>
        </w:rPr>
        <w:t>y</w:t>
      </w:r>
      <w:r w:rsidR="00430B57" w:rsidRPr="00A02BDC">
        <w:rPr>
          <w:vertAlign w:val="superscript"/>
          <w:lang w:val="it-IT"/>
        </w:rPr>
        <w:t>b</w:t>
      </w:r>
      <w:r w:rsidR="00430B57" w:rsidRPr="00A02BDC">
        <w:rPr>
          <w:lang w:val="it-IT"/>
        </w:rPr>
        <w:t xml:space="preserve">, </w:t>
      </w:r>
    </w:p>
    <w:p w14:paraId="20FAD322" w14:textId="79724FA8" w:rsidR="00FC6F97" w:rsidRPr="00A02BDC" w:rsidRDefault="00FC6F97" w:rsidP="00046F2A">
      <w:pPr>
        <w:jc w:val="both"/>
        <w:rPr>
          <w:vertAlign w:val="superscript"/>
          <w:lang w:val="it-IT"/>
        </w:rPr>
      </w:pPr>
      <w:r w:rsidRPr="00A02BDC">
        <w:rPr>
          <w:lang w:val="it-IT"/>
        </w:rPr>
        <w:t xml:space="preserve">Francesca </w:t>
      </w:r>
      <w:proofErr w:type="gramStart"/>
      <w:r w:rsidRPr="00A02BDC">
        <w:rPr>
          <w:lang w:val="it-IT"/>
        </w:rPr>
        <w:t>P</w:t>
      </w:r>
      <w:r w:rsidR="00DA3282" w:rsidRPr="00A02BDC">
        <w:rPr>
          <w:lang w:val="it-IT"/>
        </w:rPr>
        <w:t>aradisi</w:t>
      </w:r>
      <w:r w:rsidRPr="00A02BDC">
        <w:rPr>
          <w:vertAlign w:val="superscript"/>
          <w:lang w:val="it-IT"/>
        </w:rPr>
        <w:t>a</w:t>
      </w:r>
      <w:r w:rsidR="004828F8" w:rsidRPr="00A02BDC">
        <w:rPr>
          <w:vertAlign w:val="superscript"/>
          <w:lang w:val="it-IT"/>
        </w:rPr>
        <w:t>,</w:t>
      </w:r>
      <w:r w:rsidR="00417111" w:rsidRPr="00A02BDC">
        <w:rPr>
          <w:vertAlign w:val="superscript"/>
          <w:lang w:val="it-IT"/>
        </w:rPr>
        <w:t>c</w:t>
      </w:r>
      <w:proofErr w:type="gramEnd"/>
      <w:r w:rsidR="00DA3282" w:rsidRPr="00A02BDC">
        <w:rPr>
          <w:vertAlign w:val="superscript"/>
          <w:lang w:val="it-IT"/>
        </w:rPr>
        <w:t>, *</w:t>
      </w:r>
    </w:p>
    <w:p w14:paraId="3C6A0C61" w14:textId="77777777" w:rsidR="00DA3282" w:rsidRPr="00A02BDC" w:rsidRDefault="00DA3282" w:rsidP="00046F2A">
      <w:pPr>
        <w:jc w:val="both"/>
        <w:rPr>
          <w:vertAlign w:val="superscript"/>
          <w:lang w:val="it-IT"/>
        </w:rPr>
      </w:pPr>
    </w:p>
    <w:p w14:paraId="51828423" w14:textId="72B3C4B9" w:rsidR="00FC6F97" w:rsidRPr="00A02BDC" w:rsidRDefault="00FC6F97" w:rsidP="00046F2A">
      <w:pPr>
        <w:jc w:val="both"/>
      </w:pPr>
      <w:bookmarkStart w:id="0" w:name="_Hlk34296601"/>
      <w:r w:rsidRPr="00A02BDC">
        <w:rPr>
          <w:vertAlign w:val="superscript"/>
        </w:rPr>
        <w:t>a</w:t>
      </w:r>
      <w:r w:rsidR="00BB638F" w:rsidRPr="00A02BDC">
        <w:rPr>
          <w:vertAlign w:val="superscript"/>
        </w:rPr>
        <w:t xml:space="preserve"> </w:t>
      </w:r>
      <w:r w:rsidRPr="00A02BDC">
        <w:t xml:space="preserve">University of Nottingham, </w:t>
      </w:r>
      <w:r w:rsidR="00126F15" w:rsidRPr="00A02BDC">
        <w:t xml:space="preserve">School of Chemistry, </w:t>
      </w:r>
      <w:r w:rsidRPr="00A02BDC">
        <w:t>Department of Chemical Biology, University Park, Nottingham NG7 2RD, United Kingdom.</w:t>
      </w:r>
    </w:p>
    <w:bookmarkEnd w:id="0"/>
    <w:p w14:paraId="758EDA60" w14:textId="4B29108F" w:rsidR="00430B57" w:rsidRPr="00A02BDC" w:rsidRDefault="00430B57" w:rsidP="00046F2A">
      <w:pPr>
        <w:jc w:val="both"/>
        <w:rPr>
          <w:lang w:val="es-ES"/>
        </w:rPr>
      </w:pPr>
      <w:r w:rsidRPr="00A02BDC">
        <w:rPr>
          <w:vertAlign w:val="superscript"/>
          <w:lang w:val="es-ES"/>
        </w:rPr>
        <w:t>b</w:t>
      </w:r>
      <w:r w:rsidRPr="00A02BDC">
        <w:rPr>
          <w:lang w:val="es-ES"/>
        </w:rPr>
        <w:t xml:space="preserve"> Dipartimento di Bioscienze, Università di Milano, Via Celoria 26, 20133, Milan, Italy. </w:t>
      </w:r>
    </w:p>
    <w:p w14:paraId="3D36ABC7" w14:textId="5053CAF6" w:rsidR="00F31987" w:rsidRPr="00A02BDC" w:rsidRDefault="00417111" w:rsidP="00F31987">
      <w:pPr>
        <w:jc w:val="both"/>
      </w:pPr>
      <w:r w:rsidRPr="00A02BDC">
        <w:rPr>
          <w:vertAlign w:val="superscript"/>
        </w:rPr>
        <w:t xml:space="preserve">c </w:t>
      </w:r>
      <w:r w:rsidR="00126F15" w:rsidRPr="00A02BDC">
        <w:t xml:space="preserve">University of Bern, </w:t>
      </w:r>
      <w:r w:rsidR="00FC116F" w:rsidRPr="00A02BDC">
        <w:t>Department</w:t>
      </w:r>
      <w:r w:rsidR="00F31987" w:rsidRPr="00A02BDC">
        <w:t xml:space="preserve"> of Chemistry and Biochemistry</w:t>
      </w:r>
      <w:r w:rsidR="00126F15" w:rsidRPr="00A02BDC">
        <w:t>,</w:t>
      </w:r>
      <w:r w:rsidR="00F31987" w:rsidRPr="00A02BDC">
        <w:t xml:space="preserve"> Freiestrasse 3, CH-3012 Bern Switzerland</w:t>
      </w:r>
    </w:p>
    <w:p w14:paraId="399E1709" w14:textId="28F28935" w:rsidR="008E39B9" w:rsidRPr="00A02BDC" w:rsidRDefault="008E39B9" w:rsidP="00F31987">
      <w:pPr>
        <w:jc w:val="both"/>
      </w:pPr>
      <w:r w:rsidRPr="00A02BDC">
        <w:rPr>
          <w:vertAlign w:val="superscript"/>
        </w:rPr>
        <w:t xml:space="preserve"># </w:t>
      </w:r>
      <w:r w:rsidRPr="00A02BDC">
        <w:t>These authors share equal contribution to the manuscript</w:t>
      </w:r>
    </w:p>
    <w:p w14:paraId="4E2687E0" w14:textId="57974292" w:rsidR="00283F86" w:rsidRPr="00A02BDC" w:rsidRDefault="00FC6F97" w:rsidP="00046F2A">
      <w:pPr>
        <w:jc w:val="both"/>
      </w:pPr>
      <w:r w:rsidRPr="00A02BDC">
        <w:t xml:space="preserve">*Corresponding author, </w:t>
      </w:r>
      <w:r w:rsidR="00283F86" w:rsidRPr="00A02BDC">
        <w:t>E-mail:</w:t>
      </w:r>
      <w:r w:rsidR="00126F15" w:rsidRPr="00A02BDC">
        <w:t xml:space="preserve"> Francesca.paradisi@dcb.unibe.ch</w:t>
      </w:r>
      <w:r w:rsidR="006822D4" w:rsidRPr="00A02BDC">
        <w:t xml:space="preserve"> (F. Paradisi)</w:t>
      </w:r>
      <w:r w:rsidRPr="00A02BDC">
        <w:t>;</w:t>
      </w:r>
      <w:r w:rsidR="00126F15" w:rsidRPr="00A02BDC">
        <w:t xml:space="preserve"> </w:t>
      </w:r>
      <w:r w:rsidR="00777F39" w:rsidRPr="00A02BDC">
        <w:t>Telephone number</w:t>
      </w:r>
      <w:r w:rsidR="004828F8" w:rsidRPr="00A02BDC">
        <w:t> +41(0)31 631 4002</w:t>
      </w:r>
    </w:p>
    <w:p w14:paraId="34C47B6A" w14:textId="77777777" w:rsidR="004923C2" w:rsidRPr="00A02BDC" w:rsidRDefault="004923C2" w:rsidP="00473408">
      <w:pPr>
        <w:spacing w:line="259" w:lineRule="auto"/>
        <w:rPr>
          <w:u w:val="single"/>
        </w:rPr>
      </w:pPr>
    </w:p>
    <w:p w14:paraId="37377936" w14:textId="2B88A8E7" w:rsidR="00283F86" w:rsidRPr="00A02BDC" w:rsidRDefault="00283F86" w:rsidP="00473408">
      <w:pPr>
        <w:spacing w:line="259" w:lineRule="auto"/>
        <w:rPr>
          <w:u w:val="single"/>
        </w:rPr>
      </w:pPr>
      <w:r w:rsidRPr="00A02BDC">
        <w:rPr>
          <w:b/>
        </w:rPr>
        <w:t>ABSTRACT</w:t>
      </w:r>
    </w:p>
    <w:p w14:paraId="10453B73" w14:textId="61C39F58" w:rsidR="005E583E" w:rsidRPr="00A02BDC" w:rsidRDefault="00AF203B" w:rsidP="0052783B">
      <w:pPr>
        <w:jc w:val="both"/>
      </w:pPr>
      <w:r w:rsidRPr="00A02BDC">
        <w:rPr>
          <w:rFonts w:cs="Times New Roman"/>
        </w:rPr>
        <w:t>β</w:t>
      </w:r>
      <w:r w:rsidR="004D0E32" w:rsidRPr="00A02BDC">
        <w:t>-Glucosidases are used in the food industry to hydrolyse glycosidic bonds in complex sugars</w:t>
      </w:r>
      <w:r w:rsidRPr="00A02BDC">
        <w:t>, with enzymes sourced from</w:t>
      </w:r>
      <w:r w:rsidR="005E583E" w:rsidRPr="00A02BDC">
        <w:t xml:space="preserve"> extremophil</w:t>
      </w:r>
      <w:r w:rsidRPr="00A02BDC">
        <w:t xml:space="preserve">es </w:t>
      </w:r>
      <w:r w:rsidR="00DF15BB" w:rsidRPr="00A02BDC">
        <w:t>better able</w:t>
      </w:r>
      <w:r w:rsidRPr="00A02BDC">
        <w:t xml:space="preserve"> to tolerate the process conditions.</w:t>
      </w:r>
      <w:r w:rsidR="005E583E" w:rsidRPr="00A02BDC">
        <w:t xml:space="preserve"> In this work, a</w:t>
      </w:r>
      <w:r w:rsidR="0052783B" w:rsidRPr="00A02BDC">
        <w:t xml:space="preserve"> novel</w:t>
      </w:r>
      <w:r w:rsidR="005E583E" w:rsidRPr="00A02BDC">
        <w:t xml:space="preserve"> β-glycosidase from the acidophilic organism </w:t>
      </w:r>
      <w:r w:rsidR="005E583E" w:rsidRPr="00A02BDC">
        <w:rPr>
          <w:i/>
          <w:iCs/>
        </w:rPr>
        <w:t>Alicyclobacillus herbarius</w:t>
      </w:r>
      <w:r w:rsidR="005E583E" w:rsidRPr="00A02BDC">
        <w:t xml:space="preserve"> </w:t>
      </w:r>
      <w:bookmarkStart w:id="1" w:name="_Hlk52431572"/>
      <w:r w:rsidR="009D76F8" w:rsidRPr="00A02BDC">
        <w:t>was cloned</w:t>
      </w:r>
      <w:r w:rsidR="00C70A7B" w:rsidRPr="00A02BDC">
        <w:t xml:space="preserve"> and heterologously expressed in </w:t>
      </w:r>
      <w:r w:rsidR="00C70A7B" w:rsidRPr="00A02BDC">
        <w:rPr>
          <w:i/>
          <w:iCs/>
        </w:rPr>
        <w:t>E. coli</w:t>
      </w:r>
      <w:r w:rsidR="00C70A7B" w:rsidRPr="00A02BDC">
        <w:t xml:space="preserve"> BL21</w:t>
      </w:r>
      <w:r w:rsidR="002C4F5B" w:rsidRPr="00A02BDC">
        <w:t xml:space="preserve"> (DE3)</w:t>
      </w:r>
      <w:r w:rsidR="00C70A7B" w:rsidRPr="00A02BDC">
        <w:t xml:space="preserve">. </w:t>
      </w:r>
      <w:r w:rsidR="009D76F8" w:rsidRPr="00A02BDC">
        <w:rPr>
          <w:i/>
          <w:iCs/>
        </w:rPr>
        <w:t>Ahe</w:t>
      </w:r>
      <w:r w:rsidR="00C70A7B" w:rsidRPr="00A02BDC">
        <w:t xml:space="preserve">GH1 </w:t>
      </w:r>
      <w:r w:rsidR="009D76F8" w:rsidRPr="00A02BDC">
        <w:t>was stable over a broad range of pH</w:t>
      </w:r>
      <w:r w:rsidR="00936043" w:rsidRPr="00A02BDC">
        <w:t xml:space="preserve"> value</w:t>
      </w:r>
      <w:r w:rsidR="00C70A7B" w:rsidRPr="00A02BDC">
        <w:t>s</w:t>
      </w:r>
      <w:r w:rsidR="009D76F8" w:rsidRPr="00A02BDC">
        <w:t xml:space="preserve"> (5-11) and temperature</w:t>
      </w:r>
      <w:r w:rsidR="00C70A7B" w:rsidRPr="00A02BDC">
        <w:t>s</w:t>
      </w:r>
      <w:r w:rsidR="009D76F8" w:rsidRPr="00A02BDC">
        <w:t xml:space="preserve"> (4 ºC-55 ºC). The enzyme </w:t>
      </w:r>
      <w:r w:rsidR="00693126" w:rsidRPr="00A02BDC">
        <w:t xml:space="preserve">exhibited </w:t>
      </w:r>
      <w:r w:rsidR="009D76F8" w:rsidRPr="00A02BDC">
        <w:t>excellent tolerance to fructose and good tolerance to glucose, retaining 65% activity in the presence of 10% (</w:t>
      </w:r>
      <w:r w:rsidR="009155FD" w:rsidRPr="00A02BDC">
        <w:rPr>
          <w:i/>
          <w:iCs/>
        </w:rPr>
        <w:t>w/v</w:t>
      </w:r>
      <w:r w:rsidR="009155FD" w:rsidRPr="00A02BDC">
        <w:t xml:space="preserve">) glucose. </w:t>
      </w:r>
      <w:r w:rsidRPr="00A02BDC">
        <w:t xml:space="preserve">It </w:t>
      </w:r>
      <w:r w:rsidR="00DF15BB" w:rsidRPr="00A02BDC">
        <w:t xml:space="preserve">also </w:t>
      </w:r>
      <w:r w:rsidRPr="00A02BDC">
        <w:t>tolerated</w:t>
      </w:r>
      <w:r w:rsidR="009155FD" w:rsidRPr="00A02BDC">
        <w:t xml:space="preserve"> organic solvents, </w:t>
      </w:r>
      <w:r w:rsidR="00D71965" w:rsidRPr="00A02BDC">
        <w:t xml:space="preserve">some of </w:t>
      </w:r>
      <w:r w:rsidRPr="00A02BDC">
        <w:t xml:space="preserve">which appeared to </w:t>
      </w:r>
      <w:r w:rsidR="00D71965" w:rsidRPr="00A02BDC">
        <w:t>have a stimulating effect, in particular ethanol with a 1.7-fold increase in activity at 10% (</w:t>
      </w:r>
      <w:r w:rsidR="00D71965" w:rsidRPr="00A02BDC">
        <w:rPr>
          <w:i/>
          <w:iCs/>
        </w:rPr>
        <w:t>v/v</w:t>
      </w:r>
      <w:r w:rsidR="00D71965" w:rsidRPr="00A02BDC">
        <w:t>)</w:t>
      </w:r>
      <w:r w:rsidR="009155FD" w:rsidRPr="00A02BDC">
        <w:t xml:space="preserve">. </w:t>
      </w:r>
      <w:r w:rsidR="00852FC5" w:rsidRPr="00A02BDC">
        <w:t>The enzyme was the</w:t>
      </w:r>
      <w:r w:rsidR="00DF15BB" w:rsidRPr="00A02BDC">
        <w:t>n</w:t>
      </w:r>
      <w:r w:rsidR="00852FC5" w:rsidRPr="00A02BDC">
        <w:t xml:space="preserve"> applied </w:t>
      </w:r>
      <w:r w:rsidR="00DF15BB" w:rsidRPr="00A02BDC">
        <w:t>for the cleavage of</w:t>
      </w:r>
      <w:r w:rsidR="00852FC5" w:rsidRPr="00A02BDC">
        <w:t xml:space="preserve"> isoflavone </w:t>
      </w:r>
      <w:r w:rsidR="00DF15BB" w:rsidRPr="00A02BDC">
        <w:t xml:space="preserve">from isoflavone </w:t>
      </w:r>
      <w:r w:rsidR="00852FC5" w:rsidRPr="00A02BDC">
        <w:t xml:space="preserve">glucosides in </w:t>
      </w:r>
      <w:r w:rsidR="002C4F5B" w:rsidRPr="00A02BDC">
        <w:t xml:space="preserve">an </w:t>
      </w:r>
      <w:r w:rsidR="00852FC5" w:rsidRPr="00A02BDC">
        <w:t xml:space="preserve">ethanolic extract of soy flour, to produce soy isoflavones which </w:t>
      </w:r>
      <w:r w:rsidR="00921C45" w:rsidRPr="00A02BDC">
        <w:t xml:space="preserve">constitute </w:t>
      </w:r>
      <w:r w:rsidR="00852FC5" w:rsidRPr="00A02BDC">
        <w:t>a valuable food supplement</w:t>
      </w:r>
      <w:r w:rsidR="00921C45" w:rsidRPr="00A02BDC">
        <w:t xml:space="preserve">, </w:t>
      </w:r>
      <w:r w:rsidR="002A0EF7" w:rsidRPr="00A02BDC">
        <w:t>achieving full conversion within 15 min at 30 °C</w:t>
      </w:r>
      <w:r w:rsidR="00DF15BB" w:rsidRPr="00A02BDC">
        <w:t>.</w:t>
      </w:r>
    </w:p>
    <w:bookmarkEnd w:id="1"/>
    <w:p w14:paraId="1460CA3A" w14:textId="77777777" w:rsidR="006527ED" w:rsidRPr="00A02BDC" w:rsidRDefault="006527ED" w:rsidP="00473408">
      <w:pPr>
        <w:spacing w:line="259" w:lineRule="auto"/>
        <w:rPr>
          <w:b/>
        </w:rPr>
      </w:pPr>
    </w:p>
    <w:p w14:paraId="0DA7563E" w14:textId="2025A0EA" w:rsidR="00F66BCF" w:rsidRPr="00A02BDC" w:rsidRDefault="00F66BCF" w:rsidP="00750A9C">
      <w:pPr>
        <w:pStyle w:val="Heading1"/>
        <w:numPr>
          <w:ilvl w:val="0"/>
          <w:numId w:val="0"/>
        </w:numPr>
        <w:ind w:left="432" w:hanging="432"/>
        <w:rPr>
          <w:lang w:val="en-AU"/>
        </w:rPr>
      </w:pPr>
      <w:r w:rsidRPr="00A02BDC">
        <w:rPr>
          <w:lang w:val="en-AU"/>
        </w:rPr>
        <w:t>Introduction</w:t>
      </w:r>
    </w:p>
    <w:p w14:paraId="102F6FF8" w14:textId="3BE19ED5" w:rsidR="00423364" w:rsidRPr="00A02BDC" w:rsidRDefault="00423364" w:rsidP="00423364">
      <w:pPr>
        <w:jc w:val="both"/>
        <w:rPr>
          <w:rFonts w:cs="Times New Roman"/>
          <w:lang w:val="en-AU"/>
        </w:rPr>
      </w:pPr>
      <w:r w:rsidRPr="00A02BDC">
        <w:rPr>
          <w:rFonts w:cs="Times New Roman"/>
          <w:lang w:val="en-AU"/>
        </w:rPr>
        <w:t>β</w:t>
      </w:r>
      <w:r w:rsidRPr="00A02BDC">
        <w:rPr>
          <w:lang w:val="en-AU"/>
        </w:rPr>
        <w:t>-glucosidases (EC 3.2.1.21)</w:t>
      </w:r>
      <w:r w:rsidRPr="00A02BDC">
        <w:rPr>
          <w:rFonts w:cs="Times New Roman"/>
          <w:lang w:val="en-AU"/>
        </w:rPr>
        <w:t xml:space="preserve"> constitute a group of enzymes that </w:t>
      </w:r>
      <w:r w:rsidRPr="00A02BDC">
        <w:rPr>
          <w:lang w:val="en-AU"/>
        </w:rPr>
        <w:t>hydrolyse terminal, non-reducing glycosyl residues from glycosides</w:t>
      </w:r>
      <w:r w:rsidR="00353E35" w:rsidRPr="00A02BDC">
        <w:rPr>
          <w:lang w:val="en-AU"/>
        </w:rPr>
        <w:t>.</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{"citationItems":[{"id":"ITEM-1","itemData":{"DOI":"10.1016/S1367-5931(02)00380-0","ISSN":"13675931","abstract":"The three-dimensional structure of glycosidases and of their complexes and the study of transition-state mimics reveal structural details that correlate with mechanism. Of particular interest are the transition-state conformations harnessed by individual enzymes and the substrate distortion observed in enzyme–ligand complexes. 3D-structure in synergy with transition-state mimicry opens the way for mechanistic interpretation of enzyme inhibition and for the development of therapeutic agents.","author":[{"dropping-particle":"","family":"Vasella","given":"Andrea","non-dropping-particle":"","parse-names":false,"suffix":""},{"dropping-particle":"","family":"Davies","given":"Gideon J","non-dropping-particle":"","parse-names":false,"suffix":""},{"dropping-particle":"","family":"Böhm","given":"Matthias","non-dropping-particle":"","parse-names":false,"suffix":""}],"container-title":"Current Opinion in Chemical Biology","id":"ITEM-1","issue":"5","issued":{"date-parts":[["2002"]]},"page":"619-629","title":"Glycosidase mechanisms","type":"article-journal","volume":"6"},"uris":["http://www.mendeley.com/documents/?uuid=5e45eac1-d4fc-45ca-85ae-ac2478d4f826"]}],"mendeley":{"formattedCitation":"&lt;sup&gt;[1]&lt;/sup&gt;","plainTextFormattedCitation":"[1]","previouslyFormattedCitation":"&lt;sup&gt;[1]&lt;/sup&gt;"},"properties":{"noteIndex":0},"schema":"https://github.com/citation-style-language/schema/raw/master/csl-citation.json"}</w:instrText>
      </w:r>
      <w:r w:rsidR="003F3256" w:rsidRPr="00A02BDC">
        <w:rPr>
          <w:rStyle w:val="FootnoteReference"/>
          <w:lang w:val="en-AU"/>
        </w:rPr>
        <w:fldChar w:fldCharType="separate"/>
      </w:r>
      <w:r w:rsidR="00D04204" w:rsidRPr="00A02BDC">
        <w:rPr>
          <w:bCs/>
          <w:noProof/>
          <w:vertAlign w:val="superscript"/>
          <w:lang w:val="en-US"/>
        </w:rPr>
        <w:t>[1]</w:t>
      </w:r>
      <w:r w:rsidR="003F3256" w:rsidRPr="00A02BDC">
        <w:rPr>
          <w:rStyle w:val="FootnoteReference"/>
          <w:lang w:val="en-AU"/>
        </w:rPr>
        <w:fldChar w:fldCharType="end"/>
      </w:r>
      <w:r w:rsidRPr="00A02BDC">
        <w:rPr>
          <w:rFonts w:cs="Times New Roman"/>
          <w:lang w:val="en-AU"/>
        </w:rPr>
        <w:t xml:space="preserve"> These enzymes </w:t>
      </w:r>
      <w:r w:rsidR="00DF15BB" w:rsidRPr="00A02BDC">
        <w:rPr>
          <w:rFonts w:cs="Times New Roman"/>
          <w:lang w:val="en-AU"/>
        </w:rPr>
        <w:t>have been successfully applied in a</w:t>
      </w:r>
      <w:r w:rsidRPr="00A02BDC">
        <w:rPr>
          <w:rFonts w:cs="Times New Roman"/>
          <w:lang w:val="en-AU"/>
        </w:rPr>
        <w:t xml:space="preserve"> broad range of industrial applications</w:t>
      </w:r>
      <w:r w:rsidR="00353E35" w:rsidRPr="00A02BDC">
        <w:rPr>
          <w:rFonts w:cs="Times New Roman"/>
          <w:lang w:val="en-AU"/>
        </w:rPr>
        <w:t>,</w:t>
      </w:r>
      <w:r w:rsidR="003F3256" w:rsidRPr="00A02BDC">
        <w:rPr>
          <w:rStyle w:val="FootnoteReference"/>
          <w:rFonts w:cs="Times New Roman"/>
          <w:lang w:val="en-AU"/>
        </w:rPr>
        <w:fldChar w:fldCharType="begin" w:fldLock="1"/>
      </w:r>
      <w:r w:rsidR="00E40555" w:rsidRPr="00A02BDC">
        <w:rPr>
          <w:rFonts w:cs="Times New Roman"/>
          <w:vertAlign w:val="superscript"/>
          <w:lang w:val="en-AU"/>
        </w:rPr>
        <w:instrText>ADDIN CSL_CITATION {"citationItems":[{"id":"ITEM-1","itemData":{"DOI":"10.1007/s13205-015-0328-z","ISSN":"21905738","PMID":"28330074","abstract":"β-Glucosidases are diverse group of enzymes with great functional importance to biological systems. These are grouped in multiple glycoside hydrolase families based on their catalytic and sequence characteristics. Most studies carried out on β-glucosidases are focused on their industrial applications rather than their endogenous function in the target organisms. β-Glucosidases performed many functions in bacteria as they are components of large complexes called cellulosomes and are responsible for the hydrolysis of short chain oligosaccharides and cellobiose. In plants, β-glucosidases are involved in processes like formation of required intermediates for cell wall lignification, degradation of endosperm's cell wall during germination and in plant defense against biotic stresses. Mammalian β-glucosidases are thought to play roles in metabolism of glycolipids and dietary glucosides, and signaling functions. These enzymes have diverse biotechnological applications in food, surfactant, biofuel, and agricultural industries. The search for novel and improved β-glucosidase is still continued to fulfills demand of an industrially suitable enzyme. In this review, a comprehensive overview on detailed functional roles of β-glucosidases in different organisms, their industrial applications, and recent cloning and expression studies with biochemical characterization of such enzymes is presented for the better understanding and efficient use of diverse β-glucosidases.","author":[{"dropping-particle":"","family":"Singh","given":"Gopal","non-dropping-particle":"","parse-names":false,"suffix":""},{"dropping-particle":"","family":"Verma","given":"A. K.","non-dropping-particle":"","parse-names":false,"suffix":""},{"dropping-particle":"","family":"Kumar","given":"Vinod","non-dropping-particle":"","parse-names":false,"suffix":""}],"container-title":"3 Biotech","id":"ITEM-1","issue":"1","issued":{"date-parts":[["2016"]]},"page":"1-14","title":"Catalytic properties, functional attributes and industrial applications of β-glucosidases","type":"article","volume":"6"},"uris":["http://www.mendeley.com/documents/?uuid=2d336098-ffc3-4265-b437-c6557dd8771c"]}],"mendeley":{"formattedCitation":"&lt;sup&gt;[2]&lt;/sup&gt;","plainTextFormattedCitation":"[2]","previouslyFormattedCitation":"&lt;sup&gt;[2]&lt;/sup&gt;"},"properties":{"noteIndex":0},"schema":"https://github.com/citation-style-language/schema/raw/master/csl-citation.json"}</w:instrText>
      </w:r>
      <w:r w:rsidR="003F3256" w:rsidRPr="00A02BDC">
        <w:rPr>
          <w:rStyle w:val="FootnoteReference"/>
          <w:rFonts w:cs="Times New Roman"/>
          <w:lang w:val="en-AU"/>
        </w:rPr>
        <w:fldChar w:fldCharType="separate"/>
      </w:r>
      <w:r w:rsidR="00D04204" w:rsidRPr="00A02BDC">
        <w:rPr>
          <w:rFonts w:cs="Times New Roman"/>
          <w:bCs/>
          <w:noProof/>
          <w:vertAlign w:val="superscript"/>
          <w:lang w:val="en-US"/>
        </w:rPr>
        <w:t>[2]</w:t>
      </w:r>
      <w:r w:rsidR="003F3256" w:rsidRPr="00A02BDC">
        <w:rPr>
          <w:rStyle w:val="FootnoteReference"/>
          <w:rFonts w:cs="Times New Roman"/>
          <w:lang w:val="en-AU"/>
        </w:rPr>
        <w:fldChar w:fldCharType="end"/>
      </w:r>
      <w:r w:rsidRPr="00A02BDC">
        <w:rPr>
          <w:rFonts w:cs="Times New Roman"/>
          <w:lang w:val="en-AU"/>
        </w:rPr>
        <w:t xml:space="preserve"> </w:t>
      </w:r>
      <w:r w:rsidR="00DF15BB" w:rsidRPr="00A02BDC">
        <w:rPr>
          <w:rFonts w:cs="Times New Roman"/>
          <w:lang w:val="en-AU"/>
        </w:rPr>
        <w:t>and</w:t>
      </w:r>
      <w:r w:rsidRPr="00A02BDC">
        <w:rPr>
          <w:rFonts w:cs="Times New Roman"/>
          <w:lang w:val="en-AU"/>
        </w:rPr>
        <w:t xml:space="preserve"> they </w:t>
      </w:r>
      <w:r w:rsidR="00DF15BB" w:rsidRPr="00A02BDC">
        <w:rPr>
          <w:rFonts w:cs="Times New Roman"/>
          <w:lang w:val="en-AU"/>
        </w:rPr>
        <w:t>have become</w:t>
      </w:r>
      <w:r w:rsidRPr="00A02BDC">
        <w:rPr>
          <w:rFonts w:cs="Times New Roman"/>
          <w:lang w:val="en-AU"/>
        </w:rPr>
        <w:t xml:space="preserve"> key tools to hydrolyse very stable glycosidic bonds in a clean and efficient way. </w:t>
      </w:r>
    </w:p>
    <w:p w14:paraId="55864517" w14:textId="528E70CF" w:rsidR="00423364" w:rsidRPr="00A02BDC" w:rsidRDefault="00423364" w:rsidP="00423364">
      <w:pPr>
        <w:jc w:val="both"/>
        <w:rPr>
          <w:rFonts w:cs="Times New Roman"/>
          <w:lang w:val="en-AU"/>
        </w:rPr>
      </w:pPr>
      <w:r w:rsidRPr="00A02BDC">
        <w:rPr>
          <w:rFonts w:cs="Times New Roman"/>
          <w:lang w:val="en-AU"/>
        </w:rPr>
        <w:t>However, many food industrial processes involve harsh conditions</w:t>
      </w:r>
      <w:r w:rsidR="00686731" w:rsidRPr="00A02BDC">
        <w:rPr>
          <w:rFonts w:cs="Times New Roman"/>
          <w:lang w:val="en-AU"/>
        </w:rPr>
        <w:t xml:space="preserve"> (</w:t>
      </w:r>
      <w:r w:rsidR="00686731" w:rsidRPr="00A02BDC">
        <w:t>high concentrations of solvents and sugars, low pH and high temperatures)</w:t>
      </w:r>
      <w:r w:rsidRPr="00A02BDC">
        <w:rPr>
          <w:rFonts w:cs="Times New Roman"/>
          <w:lang w:val="en-AU"/>
        </w:rPr>
        <w:t xml:space="preserve"> that can lead to enzyme inactivation</w:t>
      </w:r>
      <w:r w:rsidR="00353E35" w:rsidRPr="00A02BDC">
        <w:rPr>
          <w:rFonts w:cs="Times New Roman"/>
          <w:lang w:val="en-AU"/>
        </w:rPr>
        <w:t>.</w:t>
      </w:r>
      <w:r w:rsidR="003F3256" w:rsidRPr="00A02BDC">
        <w:rPr>
          <w:rStyle w:val="FootnoteReference"/>
        </w:rPr>
        <w:fldChar w:fldCharType="begin" w:fldLock="1"/>
      </w:r>
      <w:r w:rsidR="00E40555" w:rsidRPr="00A02BDC">
        <w:rPr>
          <w:vertAlign w:val="superscript"/>
        </w:rPr>
        <w:instrText>ADDIN CSL_CITATION {"citationItems":[{"id":"ITEM-1","itemData":{"DOI":"10.1038/srep17296","ISSN":"2045-2322","author":[{"dropping-particle":"","family":"Yang","given":"Yang","non-dropping-particle":"","parse-names":false,"suffix":""},{"dropping-particle":"","family":"Zhang","given":"Xinxin","non-dropping-particle":"","parse-names":false,"suffix":""},{"dropping-particle":"","family":"Yin","given":"Qiang","non-dropping-particle":"","parse-names":false,"suffix":""},{"dropping-particle":"","family":"Fang","given":"Wei","non-dropping-particle":"","parse-names":false,"suffix":""},{"dropping-particle":"","family":"Fang","given":"Zemin","non-dropping-particle":"","parse-names":false,"suffix":""},{"dropping-particle":"","family":"Wang","given":"Xiaotang","non-dropping-particle":"","parse-names":false,"suffix":""},{"dropping-particle":"","family":"Zhang","given":"Xuecheng","non-dropping-particle":"","parse-names":false,"suffix":""},{"dropping-particle":"","family":"Xiao","given":"Yazhong","non-dropping-particle":"","parse-names":false,"suffix":""}],"container-title":"Scientific Reports","id":"ITEM-1","issue":"1","issued":{"date-parts":[["2015","12"]]},"page":"17296","title":"A mechanism of glucose tolerance and stimulation of GH1 β-glucosidases","type":"article-journal","volume":"5"},"uris":["http://www.mendeley.com/documents/?uuid=8d3c27e0-e266-4c87-aa08-159d76e689b0"]},{"id":"ITEM-2","itemData":{"DOI":"10.3390/biom3030612","ISBN":"4599402591","ISSN":"2218273X","PMID":"24970184","abstract":"Profitable biomass conversion processes are highly dependent on the use of efficient enzymes for lignocellulose degradation. Among the cellulose degrading enzymes, beta-glucosidases are essential for efficient hydrolysis of cellulosic biomass as they relieve the inhibition of the cellobiohydrolases and endoglucanases by reducing cellobiose accumulation. In this review, we discuss the important role beta-glucosidases play in complex biomass hydrolysis and how they create a bottleneck in industrial use of lignocellulosic materials. An efficient beta-glucosidase facilitates hydrolysis at specified process conditions, and key points to consider in this respect are hydrolysis rate, inhibitors, and stability. Product inhibition impairing yields, thermal inactivation of enzymes, and the high cost of enzyme production are the main obstacles to commercial cellulose hydrolysis. Therefore, this sets the stage in the search for better alternatives to the currently available enzyme preparations either by improving known or screening for new beta-glucosidases.","author":[{"dropping-particle":"","family":"Sørensen","given":"Annette","non-dropping-particle":"","parse-names":false,"suffix":""},{"dropping-particle":"","family":"Lübeck","given":"Mette","non-dropping-particle":"","parse-names":false,"suffix":""},{"dropping-particle":"","family":"Lübeck","given":"Peter S.","non-dropping-particle":"","parse-names":false,"suffix":""},{"dropping-particle":"","family":"Ahring","given":"Birgitte K.","non-dropping-particle":"","parse-names":false,"suffix":""}],"container-title":"Biomolecules","id":"ITEM-2","issue":"3","issued":{"date-parts":[["2013"]]},"page":"612-631","title":"Fungal beta-glucosidases: A bottleneck in industrial use of lignocellulosic materials","type":"article-journal","volume":"3"},"uris":["http://www.mendeley.com/documents/?uuid=dbb75fb2-acc8-4170-bcd8-75232de92668"]}],"mendeley":{"formattedCitation":"&lt;sup&gt;[3,4]&lt;/sup&gt;","plainTextFormattedCitation":"[3,4]","previouslyFormattedCitation":"&lt;sup&gt;[3,4]&lt;/sup&gt;"},"properties":{"noteIndex":0},"schema":"https://github.com/citation-style-language/schema/raw/master/csl-citation.json"}</w:instrText>
      </w:r>
      <w:r w:rsidR="003F3256" w:rsidRPr="00A02BDC">
        <w:rPr>
          <w:rStyle w:val="FootnoteReference"/>
        </w:rPr>
        <w:fldChar w:fldCharType="separate"/>
      </w:r>
      <w:r w:rsidR="00D04204" w:rsidRPr="00A02BDC">
        <w:rPr>
          <w:bCs/>
          <w:noProof/>
          <w:vertAlign w:val="superscript"/>
          <w:lang w:val="en-US"/>
        </w:rPr>
        <w:t>[3,4]</w:t>
      </w:r>
      <w:r w:rsidR="003F3256" w:rsidRPr="00A02BDC">
        <w:rPr>
          <w:rStyle w:val="FootnoteReference"/>
        </w:rPr>
        <w:fldChar w:fldCharType="end"/>
      </w:r>
      <w:r w:rsidR="00686731" w:rsidRPr="00A02BDC">
        <w:t xml:space="preserve"> </w:t>
      </w:r>
      <w:r w:rsidR="00686731" w:rsidRPr="00A02BDC">
        <w:rPr>
          <w:lang w:val="en-AU"/>
        </w:rPr>
        <w:t>Extremophiles are organisms well adapted to extreme environmental conditions</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{"citationItems":[{"id":"ITEM-1","itemData":{"DOI":"10.3390/life3030482","ISBN":"20751729","ISSN":"2075-1729","PMID":"25369817","abstract":"Over the last decades, the study of extremophiles has providing ground breaking discoveries that challenge the paradigms of modern biology and make us rethink intriguing questions such as \"what is life?\", \"what are the limits of life?\", and \"what are the fundamental features of life?\". These findings and possibilities have made the study of life in extreme environments one of the most exciting areas of research in recent decades. However, despite the latest advances we are just in the beginning of exploring and characterizing the world of extremophiles. This special issue discusses several aspects of these fascinating organisms, exploring their habitats, biodiversity, ecology, evolution, genetics, biochemistry, and biotechnological applications in a collection of exciting reviews and original articles written by leading experts and research groups in the field. [...].","author":[{"dropping-particle":"","family":"Rampelotto","given":"Pabulo Henrique","non-dropping-particle":"","parse-names":false,"suffix":""}],"container-title":"Life (Basel, Switzerland)","id":"ITEM-1","issue":"3","issued":{"date-parts":[["2013"]]},"page":"482-5","title":"Extremophiles and extreme environments.","type":"article-journal","volume":"3"},"uris":["http://www.mendeley.com/documents/?uuid=2520e8b6-c9b6-43b2-be04-b4d4b3a1585e"]}],"mendeley":{"formattedCitation":"&lt;sup&gt;[5]&lt;/sup&gt;","plainTextFormattedCitation":"[5]","previouslyFormattedCitation":"&lt;sup&gt;[5]&lt;/sup&gt;"},"properties":{"noteIndex":0},"schema":"https://github.com/citation-style-language/schema/raw/master/csl-citation.json"}</w:instrText>
      </w:r>
      <w:r w:rsidR="003F3256" w:rsidRPr="00A02BDC">
        <w:rPr>
          <w:rStyle w:val="FootnoteReference"/>
          <w:lang w:val="en-AU"/>
        </w:rPr>
        <w:fldChar w:fldCharType="separate"/>
      </w:r>
      <w:r w:rsidR="00D04204" w:rsidRPr="00A02BDC">
        <w:rPr>
          <w:bCs/>
          <w:noProof/>
          <w:vertAlign w:val="superscript"/>
          <w:lang w:val="en-US"/>
        </w:rPr>
        <w:t>[5]</w:t>
      </w:r>
      <w:r w:rsidR="003F3256" w:rsidRPr="00A02BDC">
        <w:rPr>
          <w:rStyle w:val="FootnoteReference"/>
          <w:lang w:val="en-AU"/>
        </w:rPr>
        <w:fldChar w:fldCharType="end"/>
      </w:r>
      <w:r w:rsidR="00686731" w:rsidRPr="00A02BDC">
        <w:rPr>
          <w:lang w:val="en-AU"/>
        </w:rPr>
        <w:t xml:space="preserve"> and they constitute a novel and alternative source of enzymes </w:t>
      </w:r>
      <w:r w:rsidR="00DF15BB" w:rsidRPr="00A02BDC">
        <w:rPr>
          <w:lang w:val="en-AU"/>
        </w:rPr>
        <w:t xml:space="preserve">(extremozymes) </w:t>
      </w:r>
      <w:r w:rsidR="00686731" w:rsidRPr="00A02BDC">
        <w:rPr>
          <w:lang w:val="en-AU"/>
        </w:rPr>
        <w:t>for industrial application</w:t>
      </w:r>
      <w:r w:rsidR="00DF15BB" w:rsidRPr="00A02BDC">
        <w:rPr>
          <w:lang w:val="en-AU"/>
        </w:rPr>
        <w:t>s.</w:t>
      </w:r>
      <w:r w:rsidR="00686731" w:rsidRPr="00A02BDC">
        <w:rPr>
          <w:lang w:val="en-AU"/>
        </w:rPr>
        <w:t xml:space="preserve"> </w:t>
      </w:r>
      <w:r w:rsidR="00DF15BB" w:rsidRPr="00A02BDC">
        <w:rPr>
          <w:lang w:val="en-AU"/>
        </w:rPr>
        <w:t>E</w:t>
      </w:r>
      <w:r w:rsidR="00686731" w:rsidRPr="00A02BDC">
        <w:rPr>
          <w:lang w:val="en-AU"/>
        </w:rPr>
        <w:t xml:space="preserve">xtremozymes are generally more resistant in </w:t>
      </w:r>
      <w:r w:rsidR="00DF15BB" w:rsidRPr="00A02BDC">
        <w:rPr>
          <w:lang w:val="en-AU"/>
        </w:rPr>
        <w:t xml:space="preserve">demanding </w:t>
      </w:r>
      <w:r w:rsidR="00686731" w:rsidRPr="00A02BDC">
        <w:rPr>
          <w:lang w:val="en-AU"/>
        </w:rPr>
        <w:t>industrial processes when compared to mesophilic enzymes</w:t>
      </w:r>
      <w:r w:rsidR="00353E35" w:rsidRPr="00A02BDC">
        <w:rPr>
          <w:lang w:val="en-AU"/>
        </w:rPr>
        <w:t>.</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{"citationItems":[{"id":"ITEM-1","itemData":{"DOI":"10.1016/j.copbio.2014.04.003","ISBN":"1879-0429 (Electronic)\\r0958-1669 (Linking)","ISSN":"18790429","PMID":"24780224","abstract":"Extremozymes are enzymes derived from extremophilic microorganisms that are able to withstand harsh conditions in industrial processes that were long thought to be destructive to proteins. Heat-stable and solvent-tolerant biocatalysts are valuable tools for processes in which for example hardly decomposable polymers need to be liquefied and degraded, while cold-active enzymes are of relevance for food and detergent industries. Extremophilic microorganisms are a rich source of naturally tailored enzymes, which are more superior over their mesophilic counterparts for applications at extreme conditions. Especially lignocellulolytic, amylolytic, and other biomass processing extremozymes with unique properties are widely distributed in thermophilic prokaryotes and are of high potential for versatile industrial processes. © 2014 Elsevier Ltd.","author":[{"dropping-particle":"","family":"Elleuche","given":"Skander","non-dropping-particle":"","parse-names":false,"suffix":""},{"dropping-particle":"","family":"Schröder","given":"Carola","non-dropping-particle":"","parse-names":false,"suffix":""},{"dropping-particle":"","family":"Sahm","given":"Kerstin","non-dropping-particle":"","parse-names":false,"suffix":""},{"dropping-particle":"","family":"Antranikian","given":"Garabed","non-dropping-particle":"","parse-names":false,"suffix":""}],"container-title":"Current Opinion in Biotechnology","id":"ITEM-1","issue":"1","issued":{"date-parts":[["2014"]]},"page":"116-123","title":"Extremozymes-biocatalysts with unique properties from extremophilic microorganisms","type":"article-journal","volume":"29"},"uris":["http://www.mendeley.com/documents/?uuid=6d8bb829-59e4-4d2a-b308-9ac8961439e1"]}],"mendeley":{"formattedCitation":"&lt;sup&gt;[6]&lt;/sup&gt;","plainTextFormattedCitation":"[6]","previouslyFormattedCitation":"&lt;sup&gt;[6]&lt;/sup&gt;"},"properties":{"noteIndex":0},"schema":"https://github.com/citation-style-language/schema/raw/master/csl-citation.json"}</w:instrText>
      </w:r>
      <w:r w:rsidR="003F3256" w:rsidRPr="00A02BDC">
        <w:rPr>
          <w:rStyle w:val="FootnoteReference"/>
          <w:lang w:val="en-AU"/>
        </w:rPr>
        <w:fldChar w:fldCharType="separate"/>
      </w:r>
      <w:r w:rsidR="00D04204" w:rsidRPr="00A02BDC">
        <w:rPr>
          <w:bCs/>
          <w:noProof/>
          <w:vertAlign w:val="superscript"/>
          <w:lang w:val="en-US"/>
        </w:rPr>
        <w:t>[6]</w:t>
      </w:r>
      <w:r w:rsidR="003F3256" w:rsidRPr="00A02BDC">
        <w:rPr>
          <w:rStyle w:val="FootnoteReference"/>
          <w:lang w:val="en-AU"/>
        </w:rPr>
        <w:fldChar w:fldCharType="end"/>
      </w:r>
      <w:r w:rsidR="00686731" w:rsidRPr="00A02BDC">
        <w:rPr>
          <w:lang w:val="en-AU"/>
        </w:rPr>
        <w:t xml:space="preserve"> </w:t>
      </w:r>
    </w:p>
    <w:p w14:paraId="378B3FEE" w14:textId="6A6CA390" w:rsidR="00592733" w:rsidRPr="00A02BDC" w:rsidRDefault="00852FC5" w:rsidP="00E75C02">
      <w:pPr>
        <w:jc w:val="both"/>
        <w:rPr>
          <w:lang w:val="en-AU"/>
        </w:rPr>
      </w:pPr>
      <w:r w:rsidRPr="00A02BDC">
        <w:rPr>
          <w:lang w:val="en-AU"/>
        </w:rPr>
        <w:t>S</w:t>
      </w:r>
      <w:r w:rsidR="00DA6FDD" w:rsidRPr="00A02BDC">
        <w:rPr>
          <w:lang w:val="en-AU"/>
        </w:rPr>
        <w:t>oybean (</w:t>
      </w:r>
      <w:r w:rsidR="00DA6FDD" w:rsidRPr="00A02BDC">
        <w:rPr>
          <w:i/>
          <w:iCs/>
          <w:lang w:val="en-AU"/>
        </w:rPr>
        <w:t>Glycine max</w:t>
      </w:r>
      <w:r w:rsidR="00DA6FDD" w:rsidRPr="00A02BDC">
        <w:rPr>
          <w:lang w:val="en-AU"/>
        </w:rPr>
        <w:t>)</w:t>
      </w:r>
      <w:r w:rsidRPr="00A02BDC">
        <w:rPr>
          <w:lang w:val="en-AU"/>
        </w:rPr>
        <w:t xml:space="preserve"> o</w:t>
      </w:r>
      <w:r w:rsidR="00DA6FDD" w:rsidRPr="00A02BDC">
        <w:rPr>
          <w:lang w:val="en-AU"/>
        </w:rPr>
        <w:t>riginat</w:t>
      </w:r>
      <w:r w:rsidR="00936043" w:rsidRPr="00A02BDC">
        <w:rPr>
          <w:lang w:val="en-AU"/>
        </w:rPr>
        <w:t>ing</w:t>
      </w:r>
      <w:r w:rsidR="00DA6FDD" w:rsidRPr="00A02BDC">
        <w:rPr>
          <w:lang w:val="en-AU"/>
        </w:rPr>
        <w:t xml:space="preserve"> in China, constitutes one of the largest sources of vegetable oil in the world and has the highest protein content among all others food crops</w:t>
      </w:r>
      <w:r w:rsidR="00353E35" w:rsidRPr="00A02BDC">
        <w:rPr>
          <w:lang w:val="en-AU"/>
        </w:rPr>
        <w:t>.</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{"citationItems":[{"id":"ITEM-1","itemData":{"DOI":"10.1016/B978-0-12-801536-0/00001-3","ISBN":"9780128015360","author":[{"dropping-particle":"","family":"Pagano","given":"Marcela Claudia","non-dropping-particle":"","parse-names":false,"suffix":""},{"dropping-particle":"","family":"Miransari","given":"Mohammad","non-dropping-particle":"","parse-names":false,"suffix":""}],"container-title":"Abiotic and Biotic Stresses in Soybean Production","id":"ITEM-1","issued":{"date-parts":[["2016"]]},"number-of-pages":"1-26","publisher":"Elsevier Inc.","title":"Production Worldwide","type":"book"},"uris":["http://www.mendeley.com/documents/?uuid=6c23faed-d9f5-4e7a-82b0-9e1033ece402"]}],"mendeley":{"formattedCitation":"&lt;sup&gt;[7]&lt;/sup&gt;","plainTextFormattedCitation":"[7]","previouslyFormattedCitation":"&lt;sup&gt;[7]&lt;/sup&gt;"},"properties":{"noteIndex":0},"schema":"https://github.com/citation-style-language/schema/raw/master/csl-citation.json"}</w:instrText>
      </w:r>
      <w:r w:rsidR="003F3256" w:rsidRPr="00A02BDC">
        <w:rPr>
          <w:rStyle w:val="FootnoteReference"/>
          <w:lang w:val="en-AU"/>
        </w:rPr>
        <w:fldChar w:fldCharType="separate"/>
      </w:r>
      <w:r w:rsidR="00D04204" w:rsidRPr="00A02BDC">
        <w:rPr>
          <w:noProof/>
          <w:vertAlign w:val="superscript"/>
          <w:lang w:val="en-AU"/>
        </w:rPr>
        <w:t>[7]</w:t>
      </w:r>
      <w:r w:rsidR="003F3256" w:rsidRPr="00A02BDC">
        <w:rPr>
          <w:rStyle w:val="FootnoteReference"/>
          <w:lang w:val="en-AU"/>
        </w:rPr>
        <w:fldChar w:fldCharType="end"/>
      </w:r>
      <w:r w:rsidR="00DA6FDD" w:rsidRPr="00A02BDC">
        <w:rPr>
          <w:lang w:val="en-AU"/>
        </w:rPr>
        <w:t xml:space="preserve"> </w:t>
      </w:r>
      <w:r w:rsidR="00B507AE" w:rsidRPr="00A02BDC">
        <w:rPr>
          <w:lang w:val="en-AU"/>
        </w:rPr>
        <w:t>I</w:t>
      </w:r>
      <w:r w:rsidR="00DA6FDD" w:rsidRPr="00A02BDC">
        <w:rPr>
          <w:lang w:val="en-AU"/>
        </w:rPr>
        <w:t xml:space="preserve">ts consumption has become </w:t>
      </w:r>
      <w:r w:rsidR="00AF44D3" w:rsidRPr="00A02BDC">
        <w:rPr>
          <w:lang w:val="en-AU"/>
        </w:rPr>
        <w:t>increasingly</w:t>
      </w:r>
      <w:r w:rsidR="00DA6FDD" w:rsidRPr="00A02BDC">
        <w:rPr>
          <w:lang w:val="en-AU"/>
        </w:rPr>
        <w:t xml:space="preserve"> popular in recent years </w:t>
      </w:r>
      <w:r w:rsidR="00AF44D3" w:rsidRPr="00A02BDC">
        <w:rPr>
          <w:lang w:val="en-AU"/>
        </w:rPr>
        <w:t>as</w:t>
      </w:r>
      <w:r w:rsidR="00B507AE" w:rsidRPr="00A02BDC">
        <w:rPr>
          <w:lang w:val="en-AU"/>
        </w:rPr>
        <w:t xml:space="preserve"> </w:t>
      </w:r>
      <w:r w:rsidRPr="00A02BDC">
        <w:rPr>
          <w:lang w:val="en-AU"/>
        </w:rPr>
        <w:t>it is</w:t>
      </w:r>
      <w:r w:rsidR="00B507AE" w:rsidRPr="00A02BDC">
        <w:rPr>
          <w:lang w:val="en-AU"/>
        </w:rPr>
        <w:t xml:space="preserve"> </w:t>
      </w:r>
      <w:r w:rsidRPr="00A02BDC">
        <w:rPr>
          <w:lang w:val="en-AU"/>
        </w:rPr>
        <w:t xml:space="preserve">an excellent </w:t>
      </w:r>
      <w:r w:rsidR="00DA6FDD" w:rsidRPr="00A02BDC">
        <w:rPr>
          <w:lang w:val="en-AU"/>
        </w:rPr>
        <w:t>protein source for the human diet</w:t>
      </w:r>
      <w:r w:rsidR="00B507AE" w:rsidRPr="00A02BDC">
        <w:rPr>
          <w:lang w:val="en-AU"/>
        </w:rPr>
        <w:t xml:space="preserve">. </w:t>
      </w:r>
      <w:r w:rsidRPr="00A02BDC">
        <w:rPr>
          <w:lang w:val="en-AU"/>
        </w:rPr>
        <w:t>In addition,</w:t>
      </w:r>
      <w:r w:rsidR="00B507AE" w:rsidRPr="00A02BDC">
        <w:rPr>
          <w:lang w:val="en-AU"/>
        </w:rPr>
        <w:t xml:space="preserve"> soybean</w:t>
      </w:r>
      <w:r w:rsidR="00DA6FDD" w:rsidRPr="00A02BDC">
        <w:rPr>
          <w:lang w:val="en-AU"/>
        </w:rPr>
        <w:t xml:space="preserve"> contain</w:t>
      </w:r>
      <w:r w:rsidRPr="00A02BDC">
        <w:rPr>
          <w:lang w:val="en-AU"/>
        </w:rPr>
        <w:t>s</w:t>
      </w:r>
      <w:r w:rsidR="00B507AE" w:rsidRPr="00A02BDC">
        <w:rPr>
          <w:lang w:val="en-AU"/>
        </w:rPr>
        <w:t xml:space="preserve"> several compounds considered</w:t>
      </w:r>
      <w:r w:rsidR="00DA6FDD" w:rsidRPr="00A02BDC">
        <w:rPr>
          <w:lang w:val="en-AU"/>
        </w:rPr>
        <w:t xml:space="preserve"> important food supplements</w:t>
      </w:r>
      <w:r w:rsidR="00B507AE" w:rsidRPr="00A02BDC">
        <w:rPr>
          <w:lang w:val="en-AU"/>
        </w:rPr>
        <w:t xml:space="preserve"> due to their health properties,</w:t>
      </w:r>
      <w:r w:rsidR="00DA6FDD" w:rsidRPr="00A02BDC">
        <w:rPr>
          <w:lang w:val="en-AU"/>
        </w:rPr>
        <w:t xml:space="preserve"> </w:t>
      </w:r>
      <w:r w:rsidR="00175F51" w:rsidRPr="00A02BDC">
        <w:rPr>
          <w:lang w:val="en-AU"/>
        </w:rPr>
        <w:t>especially isoflavones</w:t>
      </w:r>
      <w:r w:rsidR="00DA6FDD" w:rsidRPr="00A02BDC">
        <w:rPr>
          <w:lang w:val="en-AU"/>
        </w:rPr>
        <w:t>.</w:t>
      </w:r>
      <w:r w:rsidR="00B507AE" w:rsidRPr="00A02BDC">
        <w:rPr>
          <w:lang w:val="en-AU"/>
        </w:rPr>
        <w:t xml:space="preserve"> </w:t>
      </w:r>
      <w:r w:rsidR="00D26F98" w:rsidRPr="00A02BDC">
        <w:rPr>
          <w:lang w:val="en-AU"/>
        </w:rPr>
        <w:t>Soybeans contain</w:t>
      </w:r>
      <w:r w:rsidRPr="00A02BDC">
        <w:rPr>
          <w:lang w:val="en-AU"/>
        </w:rPr>
        <w:t xml:space="preserve"> mainly</w:t>
      </w:r>
      <w:r w:rsidR="00D26F98" w:rsidRPr="00A02BDC">
        <w:rPr>
          <w:lang w:val="en-AU"/>
        </w:rPr>
        <w:t xml:space="preserve"> three types of isoflavones</w:t>
      </w:r>
      <w:r w:rsidRPr="00A02BDC">
        <w:rPr>
          <w:lang w:val="en-AU"/>
        </w:rPr>
        <w:t xml:space="preserve"> (daidzein, genistein, and glycitein), which </w:t>
      </w:r>
      <w:r w:rsidR="00AF44D3" w:rsidRPr="00A02BDC">
        <w:rPr>
          <w:lang w:val="en-AU"/>
        </w:rPr>
        <w:t>can</w:t>
      </w:r>
      <w:r w:rsidRPr="00A02BDC">
        <w:rPr>
          <w:lang w:val="en-AU"/>
        </w:rPr>
        <w:t xml:space="preserve"> be found in four different </w:t>
      </w:r>
      <w:r w:rsidR="00592733" w:rsidRPr="00A02BDC">
        <w:rPr>
          <w:lang w:val="en-AU"/>
        </w:rPr>
        <w:t xml:space="preserve">forms (Fig. 1): </w:t>
      </w:r>
      <w:r w:rsidRPr="00A02BDC">
        <w:rPr>
          <w:lang w:val="en-AU"/>
        </w:rPr>
        <w:t>as</w:t>
      </w:r>
      <w:r w:rsidR="00D26F98" w:rsidRPr="00A02BDC">
        <w:rPr>
          <w:lang w:val="en-AU"/>
        </w:rPr>
        <w:t xml:space="preserve"> aglycons</w:t>
      </w:r>
      <w:r w:rsidRPr="00A02BDC">
        <w:rPr>
          <w:lang w:val="en-AU"/>
        </w:rPr>
        <w:t>,</w:t>
      </w:r>
      <w:r w:rsidR="00D26F98" w:rsidRPr="00A02BDC">
        <w:rPr>
          <w:lang w:val="en-AU"/>
        </w:rPr>
        <w:t xml:space="preserve"> </w:t>
      </w:r>
      <w:bookmarkStart w:id="2" w:name="_Hlk37839822"/>
      <w:r w:rsidR="00B0758C" w:rsidRPr="00A02BDC">
        <w:rPr>
          <w:lang w:val="en-AU"/>
        </w:rPr>
        <w:t>7-</w:t>
      </w:r>
      <w:r w:rsidR="00B0758C" w:rsidRPr="00A02BDC">
        <w:rPr>
          <w:i/>
          <w:iCs/>
          <w:lang w:val="en-AU"/>
        </w:rPr>
        <w:t>O</w:t>
      </w:r>
      <w:r w:rsidR="00B0758C" w:rsidRPr="00A02BDC">
        <w:rPr>
          <w:lang w:val="en-AU"/>
        </w:rPr>
        <w:t>-</w:t>
      </w:r>
      <w:r w:rsidR="00D26F98" w:rsidRPr="00A02BDC">
        <w:rPr>
          <w:rFonts w:cs="Times New Roman"/>
          <w:lang w:val="en-AU"/>
        </w:rPr>
        <w:t>β</w:t>
      </w:r>
      <w:r w:rsidR="00D26F98" w:rsidRPr="00A02BDC">
        <w:rPr>
          <w:lang w:val="en-AU"/>
        </w:rPr>
        <w:t>-</w:t>
      </w:r>
      <w:r w:rsidR="00B0758C" w:rsidRPr="00A02BDC">
        <w:rPr>
          <w:lang w:val="en-AU"/>
        </w:rPr>
        <w:t>D-</w:t>
      </w:r>
      <w:r w:rsidR="00D26F98" w:rsidRPr="00A02BDC">
        <w:rPr>
          <w:lang w:val="en-AU"/>
        </w:rPr>
        <w:t>glucosides</w:t>
      </w:r>
      <w:r w:rsidRPr="00A02BDC">
        <w:rPr>
          <w:lang w:val="en-AU"/>
        </w:rPr>
        <w:t>,</w:t>
      </w:r>
      <w:r w:rsidR="00D26F98" w:rsidRPr="00A02BDC">
        <w:rPr>
          <w:lang w:val="en-AU"/>
        </w:rPr>
        <w:t xml:space="preserve"> </w:t>
      </w:r>
      <w:bookmarkEnd w:id="2"/>
      <w:r w:rsidR="00D26F98" w:rsidRPr="00A02BDC">
        <w:rPr>
          <w:lang w:val="en-AU"/>
        </w:rPr>
        <w:t xml:space="preserve"> </w:t>
      </w:r>
      <w:r w:rsidR="00592733" w:rsidRPr="00A02BDC">
        <w:rPr>
          <w:lang w:val="en-AU"/>
        </w:rPr>
        <w:t>7-</w:t>
      </w:r>
      <w:r w:rsidR="00592733" w:rsidRPr="00A02BDC">
        <w:rPr>
          <w:i/>
          <w:iCs/>
          <w:lang w:val="en-AU"/>
        </w:rPr>
        <w:t>O</w:t>
      </w:r>
      <w:r w:rsidR="00592733" w:rsidRPr="00A02BDC">
        <w:rPr>
          <w:lang w:val="en-AU"/>
        </w:rPr>
        <w:t>-(</w:t>
      </w:r>
      <w:r w:rsidR="00D26F98" w:rsidRPr="00A02BDC">
        <w:rPr>
          <w:lang w:val="en-AU"/>
        </w:rPr>
        <w:t>6</w:t>
      </w:r>
      <w:r w:rsidR="00592733" w:rsidRPr="00A02BDC">
        <w:rPr>
          <w:rFonts w:cs="Times New Roman"/>
          <w:lang w:val="en-AU"/>
        </w:rPr>
        <w:t>″</w:t>
      </w:r>
      <w:r w:rsidR="00D26F98" w:rsidRPr="00A02BDC">
        <w:rPr>
          <w:lang w:val="en-AU"/>
        </w:rPr>
        <w:t>-</w:t>
      </w:r>
      <w:r w:rsidR="00D26F98" w:rsidRPr="00A02BDC">
        <w:rPr>
          <w:i/>
          <w:iCs/>
          <w:lang w:val="en-AU"/>
        </w:rPr>
        <w:t>O</w:t>
      </w:r>
      <w:r w:rsidR="00D26F98" w:rsidRPr="00A02BDC">
        <w:rPr>
          <w:lang w:val="en-AU"/>
        </w:rPr>
        <w:t>-acetyl</w:t>
      </w:r>
      <w:r w:rsidR="00592733" w:rsidRPr="00A02BDC">
        <w:rPr>
          <w:lang w:val="en-AU"/>
        </w:rPr>
        <w:t>)glucosides</w:t>
      </w:r>
      <w:r w:rsidR="00D26F98" w:rsidRPr="00A02BDC">
        <w:rPr>
          <w:lang w:val="en-AU"/>
        </w:rPr>
        <w:t xml:space="preserve">, </w:t>
      </w:r>
      <w:r w:rsidR="00592733" w:rsidRPr="00A02BDC">
        <w:rPr>
          <w:lang w:val="en-AU"/>
        </w:rPr>
        <w:t>or 7-</w:t>
      </w:r>
      <w:r w:rsidR="00592733" w:rsidRPr="00A02BDC">
        <w:rPr>
          <w:i/>
          <w:iCs/>
          <w:lang w:val="en-AU"/>
        </w:rPr>
        <w:t>O</w:t>
      </w:r>
      <w:r w:rsidR="00592733" w:rsidRPr="00A02BDC">
        <w:rPr>
          <w:lang w:val="en-AU"/>
        </w:rPr>
        <w:t>-(6</w:t>
      </w:r>
      <w:r w:rsidR="00592733" w:rsidRPr="00A02BDC">
        <w:rPr>
          <w:rFonts w:cs="Times New Roman"/>
          <w:lang w:val="en-AU"/>
        </w:rPr>
        <w:t>″</w:t>
      </w:r>
      <w:r w:rsidR="00592733" w:rsidRPr="00A02BDC">
        <w:rPr>
          <w:lang w:val="en-AU"/>
        </w:rPr>
        <w:t>-</w:t>
      </w:r>
      <w:r w:rsidR="00592733" w:rsidRPr="00A02BDC">
        <w:rPr>
          <w:i/>
          <w:iCs/>
          <w:lang w:val="en-AU"/>
        </w:rPr>
        <w:t>O</w:t>
      </w:r>
      <w:r w:rsidR="00592733" w:rsidRPr="00A02BDC">
        <w:rPr>
          <w:lang w:val="en-AU"/>
        </w:rPr>
        <w:t>-malonyl)</w:t>
      </w:r>
      <w:r w:rsidR="008E27F2" w:rsidRPr="00A02BDC">
        <w:rPr>
          <w:lang w:val="en-AU"/>
        </w:rPr>
        <w:t xml:space="preserve"> </w:t>
      </w:r>
      <w:r w:rsidR="00592733" w:rsidRPr="00A02BDC">
        <w:rPr>
          <w:lang w:val="en-AU"/>
        </w:rPr>
        <w:t>glucosides</w:t>
      </w:r>
      <w:r w:rsidR="00353E35" w:rsidRPr="00A02BDC">
        <w:rPr>
          <w:lang w:val="en-AU"/>
        </w:rPr>
        <w:t>.</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{"citationItems":[{"id":"ITEM-1","itemData":{"DOI":"10.1080/00021369.1991.10870966","ISSN":"00021369","abstract":"The isoflavone constituents in soybean seeds were investigated, and 9 kinds of isoflavone glycosides were isolated from the hypocotyls of soybean seeds. Three kinds were proved to be malonylated soybean isoflavones named 6″-O-malonyldaidzin, 6″-O-malonylglycitin and 6″-O-malonylgenistin by UV, MS, IR and NMR. The malonylated isoflavone glycosides as major isoflavone constituents in soybean seed were thermally unstable, and were converted into their corresponding isoflavone glycosides. All of the isoflavone components produced intensely undesirable taste effects such as bitter, astringent and dry mouth feeling. © 1991 by the Japan Society for Bioscience, Biotechnology, and Agrochemistry.","author":[{"dropping-particle":"","family":"Kudou","given":"Shigemitsu","non-dropping-particle":"","parse-names":false,"suffix":""},{"dropping-particle":"","family":"Fleury","given":"Yvette","non-dropping-particle":"","parse-names":false,"suffix":""},{"dropping-particle":"","family":"Welti","given":"Dieter","non-dropping-particle":"","parse-names":false,"suffix":""},{"dropping-particle":"","family":"Magnolato","given":"Daniele","non-dropping-particle":"","parse-names":false,"suffix":""},{"dropping-particle":"","family":"Uchida","given":"Teiji","non-dropping-particle":"","parse-names":false,"suffix":""},{"dropping-particle":"","family":"Kitamura","given":"Keisuke","non-dropping-particle":"","parse-names":false,"suffix":""},{"dropping-particle":"","family":"Okubo","given":"Kazuyoshi","non-dropping-particle":"","parse-names":false,"suffix":""}],"container-title":"Agricultural and Biological Chemistry","id":"ITEM-1","issue":"9","issued":{"date-parts":[["1991"]]},"page":"2227-2233","title":"Malonyl isoflavone glycosides in soybean seeds (Glycine max MERRILL)","type":"article-journal","volume":"55"},"uris":["http://www.mendeley.com/documents/?uuid=65595603-0b44-49c8-b567-8b75ef99cf88"]}],"mendeley":{"formattedCitation":"&lt;sup&gt;[8]&lt;/sup&gt;","plainTextFormattedCitation":"[8]","previouslyFormattedCitation":"&lt;sup&gt;[8]&lt;/sup&gt;"},"properties":{"noteIndex":0},"schema":"https://github.com/citation-style-language/schema/raw/master/csl-citation.json"}</w:instrText>
      </w:r>
      <w:r w:rsidR="003F3256" w:rsidRPr="00A02BDC">
        <w:rPr>
          <w:rStyle w:val="FootnoteReference"/>
          <w:lang w:val="en-AU"/>
        </w:rPr>
        <w:fldChar w:fldCharType="separate"/>
      </w:r>
      <w:r w:rsidR="00D04204" w:rsidRPr="00A02BDC">
        <w:rPr>
          <w:bCs/>
          <w:noProof/>
          <w:vertAlign w:val="superscript"/>
          <w:lang w:val="en-US"/>
        </w:rPr>
        <w:t>[8]</w:t>
      </w:r>
      <w:r w:rsidR="003F3256" w:rsidRPr="00A02BDC">
        <w:rPr>
          <w:rStyle w:val="FootnoteReference"/>
          <w:lang w:val="en-AU"/>
        </w:rPr>
        <w:fldChar w:fldCharType="end"/>
      </w:r>
      <w:r w:rsidR="00016EE9" w:rsidRPr="00A02BDC">
        <w:rPr>
          <w:lang w:val="en-AU"/>
        </w:rPr>
        <w:t xml:space="preserve"> Recently, commercial preparations of isoflavones have </w:t>
      </w:r>
      <w:r w:rsidR="00AF44D3" w:rsidRPr="00A02BDC">
        <w:rPr>
          <w:lang w:val="en-AU"/>
        </w:rPr>
        <w:t>come to the public attention</w:t>
      </w:r>
      <w:r w:rsidR="00016EE9" w:rsidRPr="00A02BDC">
        <w:rPr>
          <w:lang w:val="en-AU"/>
        </w:rPr>
        <w:t xml:space="preserve"> </w:t>
      </w:r>
      <w:r w:rsidR="00AF44D3" w:rsidRPr="00A02BDC">
        <w:rPr>
          <w:lang w:val="en-AU"/>
        </w:rPr>
        <w:t>following studies on their reported positive effects on cognitive function</w:t>
      </w:r>
      <w:r w:rsidR="00353E35" w:rsidRPr="00A02BDC">
        <w:rPr>
          <w:lang w:val="en-AU"/>
        </w:rPr>
        <w:t>.</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{"citationItems":[{"id":"ITEM-1","itemData":{"DOI":"10.1093/nutrit/nuz050","ISSN":"17534887","PMID":"31504836","abstract":"CONTEXT: The results of preclinical and observational studies support the beneficial effect of soy isoflavones on cognition. OBJECTIVE: This review aimed to evaluate the effects of soy isoflavones on cognition in adults. DATA SOURCES: The PUBMED, EMBASE, Ovid Medline, Cochrane Library, and clinicaltrials.gov databases were searched. STUDY SELECTION: Two researchers independently screened 1955 records, using the PICOS criteria: participants were adults; intervention was dietary sources with soy isoflavones or isolated soy isoflavones; comparator was any comparator; outcome was cognitive function; study type was randomized controlled trials (RCTs). A third researcher was consulted to resolve any discrepancies. Sixteen RCTs were included and their quality assessed. DATA EXTRACTION: Information on study design, characteristics of participants, and outcomes was extracted. PRISMA guidelines were followed. DATA ANALYSIS: A random-effects meta-analysis was used to pool estimates across studies. In the 16 RCTs (1386 participants, mean age = 60 y), soy isoflavones were found to improve overall cognitive function (standardized mean difference [SMD], 0.19; 95% confidence interval [CI], 0.07-0.32) and memory (SMD, 0.15; 95%CI, 0.03-0.26). CONCLUSION: The results showed that soy isoflavones may improve cognitive function in adults. SYSTEMATIC REVIEW REGISTRATION: PROSPERO registration no. CRD42018082070.","author":[{"dropping-particle":"","family":"Cui","given":"Chendi","non-dropping-particle":"","parse-names":false,"suffix":""},{"dropping-particle":"","family":"Birru","given":"Rahel L.","non-dropping-particle":"","parse-names":false,"suffix":""},{"dropping-particle":"","family":"Snitz","given":"Beth E.","non-dropping-particle":"","parse-names":false,"suffix":""},{"dropping-particle":"","family":"Ihara","given":"Masafumi","non-dropping-particle":"","parse-names":false,"suffix":""},{"dropping-particle":"","family":"Kakuta","given":"Chikage","non-dropping-particle":"","parse-names":false,"suffix":""},{"dropping-particle":"","family":"Lopresti","given":"Brian J.","non-dropping-particle":"","parse-names":false,"suffix":""},{"dropping-particle":"","family":"Aizenstein","given":"Howard J.","non-dropping-particle":"","parse-names":false,"suffix":""},{"dropping-particle":"","family":"Lopez","given":"Oscar L.","non-dropping-particle":"","parse-names":false,"suffix":""},{"dropping-particle":"","family":"Mathis","given":"Chester A.","non-dropping-particle":"","parse-names":false,"suffix":""},{"dropping-particle":"","family":"Miyamoto","given":"Yoshihiro","non-dropping-particle":"","parse-names":false,"suffix":""},{"dropping-particle":"","family":"Kuller","given":"Lewis H.","non-dropping-particle":"","parse-names":false,"suffix":""},{"dropping-particle":"","family":"Sekikawa","given":"Akira","non-dropping-particle":"","parse-names":false,"suffix":""}],"container-title":"Nutrition reviews","id":"ITEM-1","issue":"2","issued":{"date-parts":[["2020"]]},"page":"134-144","title":"Effects of soy isoflavones on cognitive function: a systematic review and meta-analysis of randomized controlled trials","type":"article-journal","volume":"78"},"uris":["http://www.mendeley.com/documents/?uuid=f049185c-5c72-4904-ab79-3cf74b74ed51"]}],"mendeley":{"formattedCitation":"&lt;sup&gt;[9]&lt;/sup&gt;","plainTextFormattedCitation":"[9]","previouslyFormattedCitation":"&lt;sup&gt;[9]&lt;/sup&gt;"},"properties":{"noteIndex":0},"schema":"https://github.com/citation-style-language/schema/raw/master/csl-citation.json"}</w:instrText>
      </w:r>
      <w:r w:rsidR="003F3256" w:rsidRPr="00A02BDC">
        <w:rPr>
          <w:rStyle w:val="FootnoteReference"/>
          <w:lang w:val="en-AU"/>
        </w:rPr>
        <w:fldChar w:fldCharType="separate"/>
      </w:r>
      <w:r w:rsidR="00D04204" w:rsidRPr="00A02BDC">
        <w:rPr>
          <w:bCs/>
          <w:noProof/>
          <w:vertAlign w:val="superscript"/>
          <w:lang w:val="en-US"/>
        </w:rPr>
        <w:t>[9]</w:t>
      </w:r>
      <w:r w:rsidR="003F3256" w:rsidRPr="00A02BDC">
        <w:rPr>
          <w:rStyle w:val="FootnoteReference"/>
          <w:lang w:val="en-AU"/>
        </w:rPr>
        <w:fldChar w:fldCharType="end"/>
      </w:r>
      <w:r w:rsidR="00DC495D" w:rsidRPr="00A02BDC">
        <w:rPr>
          <w:lang w:val="en-AU"/>
        </w:rPr>
        <w:t xml:space="preserve"> However, when </w:t>
      </w:r>
      <w:r w:rsidR="00DE1EB0" w:rsidRPr="00A02BDC">
        <w:rPr>
          <w:lang w:val="en-AU"/>
        </w:rPr>
        <w:t xml:space="preserve">the </w:t>
      </w:r>
      <w:r w:rsidR="00A36035" w:rsidRPr="00A02BDC">
        <w:rPr>
          <w:lang w:val="en-AU"/>
        </w:rPr>
        <w:t xml:space="preserve">biological activities of these compounds are considered, </w:t>
      </w:r>
      <w:r w:rsidR="004421A9" w:rsidRPr="00A02BDC">
        <w:t xml:space="preserve">the bioavailability of the aglycone has been suggested to be higher than that of the glycoside; </w:t>
      </w:r>
      <w:r w:rsidR="00AF44D3" w:rsidRPr="00A02BDC">
        <w:t xml:space="preserve">but it represents only </w:t>
      </w:r>
      <w:r w:rsidR="004421A9" w:rsidRPr="00A02BDC">
        <w:t xml:space="preserve"> a minor constituent of unfermented soy products</w:t>
      </w:r>
      <w:r w:rsidR="00353E35" w:rsidRPr="00A02BDC">
        <w:t>.</w:t>
      </w:r>
      <w:r w:rsidR="003F3256" w:rsidRPr="00A02BDC">
        <w:fldChar w:fldCharType="begin" w:fldLock="1"/>
      </w:r>
      <w:r w:rsidR="00E40555" w:rsidRPr="00A02BDC">
        <w:rPr>
          <w:vertAlign w:val="superscript"/>
          <w:lang w:val="en-AU"/>
        </w:rPr>
        <w:instrText>ADDIN CSL_CITATION {"citationItems":[{"id":"ITEM-1","itemData":{"DOI":"10.1007/s13318-012-0112-y","ISSN":"03787966","abstract":"Isoflavones are phytoestrogens with potent estrogenic activity; genistein, daidzein and glycitein are the most active isoflavones found in soy beans. Phytoestrogens have similarity in structure with the human female hormone 17-β-estradiol, which can bind to both alpha and beta estrogen receptors, and mimic the action of estrogens on target organs, thereby exerting many health benefits when used in some hormone-dependent diseases. Numerous clinical studies claim benefits of genistein and daidzein in chemoprevention of breast and prostate cancer, cardiovascular disease and osteoporosis as well as in relieving postmenopausal symptoms. The ability of isoflavones to prevent cancer and other chronic diseases largely depends on pharmacokinetic properties of these compounds, in particular absorption and distribution to the target tissue. The chemical form in which isoflavones occur is important because it influences their bioavailability and, therefore, their biological activity. Glucose-conjugated isoflavones are highly polar, water-soluble compounds. They are hardly absorbed by the intestinal epithelium and have weaker biological activities than the corresponding aglycone. Different microbial families of colon can transform glycosylated isoflavones into aglycones. Clinical studies show important differences between the aglycone and conjugated forms of genistein and daidzein. The evaluation of isoflavone metabolism and bioavailability is crucial to understanding their biological effects. Lipid-based formulations such as drug incorporation into oils, emulsions and self-microemulsifying formulations have been introduced to increase bioavailability. Complexation with cyclodextrin also represent a valid method to improve the physicochemical characteristics of these substances in order to be absorbed and distributed to target tissues. We review and discuss pharmacokinetic issues that critically influence the biological activity of isoflavones.","author":[{"dropping-particle":"","family":"Vitale","given":"Daniela Cristina","non-dropping-particle":"","parse-names":false,"suffix":""},{"dropping-particle":"","family":"Piazza","given":"Cateno","non-dropping-particle":"","parse-names":false,"suffix":""},{"dropping-particle":"","family":"Melilli","given":"Barbara","non-dropping-particle":"","parse-names":false,"suffix":""},{"dropping-particle":"","family":"Drago","given":"Filippo","non-dropping-particle":"","parse-names":false,"suffix":""},{"dropping-particle":"","family":"Salomone","given":"Salvatore","non-dropping-particle":"","parse-names":false,"suffix":""}],"container-title":"European journal of drug metabolism and pharmacokinetics","id":"ITEM-1","issue":"1","issued":{"date-parts":[["2013"]]},"page":"15-25","title":"Isoflavones: estrogenic activity, biological effect and bioavailability.","type":"article-journal","volume":"38"},"uris":["http://www.mendeley.com/documents/?uuid=044dd3ee-1cc0-408d-8f32-0febf592ebe4"]}],"mendeley":{"formattedCitation":"&lt;sup&gt;[10]&lt;/sup&gt;","plainTextFormattedCitation":"[10]","previouslyFormattedCitation":"&lt;sup&gt;[10]&lt;/sup&gt;"},"properties":{"noteIndex":0},"schema":"https://github.com/citation-style-language/schema/raw/master/csl-citation.json"}</w:instrText>
      </w:r>
      <w:r w:rsidR="003F3256" w:rsidRPr="00A02BDC">
        <w:fldChar w:fldCharType="separate"/>
      </w:r>
      <w:r w:rsidR="00D04204" w:rsidRPr="00A02BDC">
        <w:rPr>
          <w:noProof/>
          <w:vertAlign w:val="superscript"/>
          <w:lang w:val="en-AU"/>
        </w:rPr>
        <w:t>[10]</w:t>
      </w:r>
      <w:r w:rsidR="003F3256" w:rsidRPr="00A02BDC">
        <w:fldChar w:fldCharType="end"/>
      </w:r>
    </w:p>
    <w:p w14:paraId="4320992F" w14:textId="257C921A" w:rsidR="00EA56E7" w:rsidRPr="00A02BDC" w:rsidRDefault="00EA56E7" w:rsidP="008C3736">
      <w:pPr>
        <w:pStyle w:val="Caption"/>
        <w:jc w:val="center"/>
        <w:rPr>
          <w:color w:val="auto"/>
        </w:rPr>
      </w:pPr>
      <w:r w:rsidRPr="00A02BDC">
        <w:rPr>
          <w:noProof/>
        </w:rPr>
        <w:lastRenderedPageBreak/>
        <w:drawing>
          <wp:inline distT="0" distB="0" distL="0" distR="0" wp14:anchorId="36FDB0C9" wp14:editId="1FE4F43D">
            <wp:extent cx="2880000" cy="242171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80000" cy="2421716"/>
                    </a:xfrm>
                    <a:prstGeom prst="rect">
                      <a:avLst/>
                    </a:prstGeom>
                  </pic:spPr>
                </pic:pic>
              </a:graphicData>
            </a:graphic>
          </wp:inline>
        </w:drawing>
      </w:r>
    </w:p>
    <w:p w14:paraId="4F8F5CD1" w14:textId="015E3B80" w:rsidR="004421A9" w:rsidRPr="00A02BDC" w:rsidRDefault="00592733" w:rsidP="00EA56E7">
      <w:pPr>
        <w:pStyle w:val="Caption"/>
        <w:jc w:val="center"/>
        <w:rPr>
          <w:color w:val="auto"/>
        </w:rPr>
      </w:pPr>
      <w:r w:rsidRPr="00A02BDC">
        <w:rPr>
          <w:color w:val="auto"/>
        </w:rPr>
        <w:t xml:space="preserve">Figure </w:t>
      </w:r>
      <w:r w:rsidRPr="00A02BDC">
        <w:rPr>
          <w:color w:val="auto"/>
        </w:rPr>
        <w:fldChar w:fldCharType="begin"/>
      </w:r>
      <w:r w:rsidRPr="00A02BDC">
        <w:rPr>
          <w:color w:val="auto"/>
        </w:rPr>
        <w:instrText xml:space="preserve"> SEQ Figure \* ARABIC </w:instrText>
      </w:r>
      <w:r w:rsidRPr="00A02BDC">
        <w:rPr>
          <w:color w:val="auto"/>
        </w:rPr>
        <w:fldChar w:fldCharType="separate"/>
      </w:r>
      <w:r w:rsidR="008017C9" w:rsidRPr="00A02BDC">
        <w:rPr>
          <w:noProof/>
          <w:color w:val="auto"/>
        </w:rPr>
        <w:t>1</w:t>
      </w:r>
      <w:r w:rsidRPr="00A02BDC">
        <w:rPr>
          <w:color w:val="auto"/>
        </w:rPr>
        <w:fldChar w:fldCharType="end"/>
      </w:r>
      <w:r w:rsidRPr="00A02BDC">
        <w:rPr>
          <w:color w:val="auto"/>
        </w:rPr>
        <w:t>: Structure of the main isoflavone glucosides (glycitin, genistin, and daidzin) found in soybean. The isoflavone moiety (</w:t>
      </w:r>
      <w:r w:rsidRPr="00A02BDC">
        <w:rPr>
          <w:color w:val="auto"/>
          <w:lang w:val="en-AU"/>
        </w:rPr>
        <w:t>glycitein, genistein, and daidzein</w:t>
      </w:r>
      <w:r w:rsidRPr="00A02BDC">
        <w:rPr>
          <w:color w:val="auto"/>
        </w:rPr>
        <w:t>) is highlighted in red.</w:t>
      </w:r>
      <w:r w:rsidR="00DC4D1D" w:rsidRPr="00A02BDC">
        <w:rPr>
          <w:color w:val="auto"/>
        </w:rPr>
        <w:t xml:space="preserve"> The sugar may be further acetylated or malonylated.</w:t>
      </w:r>
    </w:p>
    <w:p w14:paraId="171D57B9" w14:textId="77777777" w:rsidR="00EA56E7" w:rsidRPr="00A02BDC" w:rsidRDefault="00EA56E7" w:rsidP="00EA56E7"/>
    <w:p w14:paraId="32499C4F" w14:textId="2AC34010" w:rsidR="00D26B88" w:rsidRPr="00A02BDC" w:rsidRDefault="00DE1EB0" w:rsidP="004A2FCA">
      <w:pPr>
        <w:jc w:val="both"/>
        <w:rPr>
          <w:lang w:val="en-AU"/>
        </w:rPr>
      </w:pPr>
      <w:r w:rsidRPr="00A02BDC">
        <w:rPr>
          <w:rFonts w:cs="Times New Roman"/>
          <w:lang w:val="en-AU"/>
        </w:rPr>
        <w:t>β</w:t>
      </w:r>
      <w:r w:rsidRPr="00A02BDC">
        <w:rPr>
          <w:lang w:val="en-AU"/>
        </w:rPr>
        <w:t xml:space="preserve">-glucosidases can be used to hydrolyse isoflavone glucosides to their aglycons. </w:t>
      </w:r>
      <w:r w:rsidR="00052D8E" w:rsidRPr="00A02BDC">
        <w:rPr>
          <w:lang w:val="en-AU"/>
        </w:rPr>
        <w:t xml:space="preserve">The industrial processing for extracting isoflavones from soybeans includes the use of organic solvents (mostly ethanol) </w:t>
      </w:r>
      <w:r w:rsidR="00AF44D3" w:rsidRPr="00A02BDC">
        <w:rPr>
          <w:lang w:val="en-AU"/>
        </w:rPr>
        <w:t xml:space="preserve">which is necessary </w:t>
      </w:r>
      <w:r w:rsidR="00052D8E" w:rsidRPr="00A02BDC">
        <w:rPr>
          <w:lang w:val="en-AU"/>
        </w:rPr>
        <w:t>to solubilise the isoflavones</w:t>
      </w:r>
      <w:r w:rsidR="00353E35" w:rsidRPr="00A02BDC">
        <w:rPr>
          <w:lang w:val="en-AU"/>
        </w:rPr>
        <w:t>.</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{"citationItems":[{"id":"ITEM-1","itemData":{"DOI":"10.1016/S1570-0232(02)00342-2","ISSN":"15700232","PMID":"12270206","abstract":"Acetonitrile is superior to acetone, ethanol and methanol in extracting the 12 phytoestrogenic soy isoflavone forms found in foods. At 53% organic solvent in water, raw soy flour, tofu, tempeh, textured vegetable protein and soy germ were evaluated for isoflavone extraction efficiency. The efficiency of acetonitrile extraction was demonstrated in mass balance evaluations of toasting of soy flour and soymilk heating. © 2002 Elsevier Science B.V. All rights reserved.","author":[{"dropping-particle":"","family":"Murphy","given":"Patricia A.","non-dropping-particle":"","parse-names":false,"suffix":""},{"dropping-particle":"","family":"Barua","given":"Kobita","non-dropping-particle":"","parse-names":false,"suffix":""},{"dropping-particle":"","family":"Hauck","given":"Catherine C.","non-dropping-particle":"","parse-names":false,"suffix":""}],"container-title":"Journal of Chromatography B: Analytical Technologies in the Biomedical and Life Sciences","id":"ITEM-1","issue":"1-2","issued":{"date-parts":[["2002"]]},"page":"129-138","title":"Solvent extraction selection in the determination of isoflavones in soy foods","type":"article-journal","volume":"777"},"uris":["http://www.mendeley.com/documents/?uuid=efbb4e46-327e-4903-835f-56640944f8c8"]}],"mendeley":{"formattedCitation":"&lt;sup&gt;[11]&lt;/sup&gt;","plainTextFormattedCitation":"[11]","previouslyFormattedCitation":"&lt;sup&gt;[11]&lt;/sup&gt;"},"properties":{"noteIndex":0},"schema":"https://github.com/citation-style-language/schema/raw/master/csl-citation.json"}</w:instrText>
      </w:r>
      <w:r w:rsidR="003F3256" w:rsidRPr="00A02BDC">
        <w:rPr>
          <w:rStyle w:val="FootnoteReference"/>
          <w:lang w:val="en-AU"/>
        </w:rPr>
        <w:fldChar w:fldCharType="separate"/>
      </w:r>
      <w:r w:rsidR="00D04204" w:rsidRPr="00A02BDC">
        <w:rPr>
          <w:noProof/>
          <w:vertAlign w:val="superscript"/>
          <w:lang w:val="en-AU"/>
        </w:rPr>
        <w:t>[11]</w:t>
      </w:r>
      <w:r w:rsidR="003F3256" w:rsidRPr="00A02BDC">
        <w:rPr>
          <w:rStyle w:val="FootnoteReference"/>
          <w:lang w:val="en-AU"/>
        </w:rPr>
        <w:fldChar w:fldCharType="end"/>
      </w:r>
      <w:r w:rsidR="00052D8E" w:rsidRPr="00A02BDC">
        <w:rPr>
          <w:lang w:val="en-AU"/>
        </w:rPr>
        <w:t xml:space="preserve"> </w:t>
      </w:r>
      <w:r w:rsidR="00D04204" w:rsidRPr="00A02BDC">
        <w:rPr>
          <w:lang w:val="en-AU"/>
        </w:rPr>
        <w:t xml:space="preserve">Soy isoflavones are released </w:t>
      </w:r>
      <w:r w:rsidR="00DA261D" w:rsidRPr="00A02BDC">
        <w:rPr>
          <w:lang w:val="en-AU"/>
        </w:rPr>
        <w:t xml:space="preserve">as </w:t>
      </w:r>
      <w:r w:rsidR="00D04204" w:rsidRPr="00A02BDC">
        <w:rPr>
          <w:lang w:val="en-AU"/>
        </w:rPr>
        <w:t xml:space="preserve">a side-product during the industrial fermentation process for the production of erythromycin, using the microorganism </w:t>
      </w:r>
      <w:r w:rsidR="00D04204" w:rsidRPr="00A02BDC">
        <w:rPr>
          <w:i/>
          <w:iCs/>
          <w:lang w:val="en-AU"/>
        </w:rPr>
        <w:t>Saccharopolyspora erythraea</w:t>
      </w:r>
      <w:r w:rsidR="00DA261D" w:rsidRPr="00A02BDC">
        <w:rPr>
          <w:i/>
          <w:iCs/>
          <w:lang w:val="en-AU"/>
        </w:rPr>
        <w:t xml:space="preserve"> </w:t>
      </w:r>
      <w:r w:rsidR="00DA261D" w:rsidRPr="00A02BDC">
        <w:rPr>
          <w:lang w:val="en-AU"/>
        </w:rPr>
        <w:t xml:space="preserve">(by endogenous </w:t>
      </w:r>
      <w:r w:rsidR="00DA261D" w:rsidRPr="00A02BDC">
        <w:rPr>
          <w:rFonts w:cs="Times New Roman"/>
          <w:lang w:val="en-AU"/>
        </w:rPr>
        <w:t>β</w:t>
      </w:r>
      <w:r w:rsidR="00DA261D" w:rsidRPr="00A02BDC">
        <w:rPr>
          <w:lang w:val="en-AU"/>
        </w:rPr>
        <w:t>-glucosidases)</w:t>
      </w:r>
      <w:r w:rsidR="00D04204" w:rsidRPr="00A02BDC">
        <w:rPr>
          <w:lang w:val="en-AU"/>
        </w:rPr>
        <w:t>. However, the isoflavone aglycones themselves are metabolized by that organism, requiring either metabolic engineering or subsequent enzymatic treatment (or acid hydrolysis) of the spent broth to obtain the aglycon.</w:t>
      </w:r>
      <w:r w:rsidR="00D04204" w:rsidRPr="00A02BDC">
        <w:rPr>
          <w:lang w:val="en-AU"/>
        </w:rPr>
        <w:fldChar w:fldCharType="begin" w:fldLock="1"/>
      </w:r>
      <w:r w:rsidR="00F864F2" w:rsidRPr="00A02BDC">
        <w:rPr>
          <w:lang w:val="en-AU"/>
        </w:rPr>
        <w:instrText>ADDIN CSL_CITATION {"citationItems":[{"id":"ITEM-1","itemData":{"DOI":"10.1007/s002530050947","ISSN":"01757598","PMID":"9163954","abstract":"A search for an abundant and economical source of isoflavones, particularly genistein, led to the discovery that the erythromycin-producing organism Saccharopolyspora erythraea also produces this promising new cancer-prevention agent. Erythromycin fermentation is a large-scale, soybean-based process used world-wide for the commercial production of this medically important antibiotic. Results from this study indicate that genistein (the glucoside form of genistein), which is added to the fermentation in the soybean media, was converted to genistein through the action of a β-glucosidase produced bv the organism. Genistein was co-extracted with erythromycin from the fermentation broth, then separated from erythromycin during the second step of the purification process for the production of erythromycin.","author":[{"dropping-particle":"","family":"Hessler","given":"P. E.","non-dropping-particle":"","parse-names":false,"suffix":""},{"dropping-particle":"","family":"Larsen","given":"P. E.","non-dropping-particle":"","parse-names":false,"suffix":""},{"dropping-particle":"","family":"Constantinou","given":"A. I.","non-dropping-particle":"","parse-names":false,"suffix":""},{"dropping-particle":"","family":"Schram","given":"K. H.","non-dropping-particle":"","parse-names":false,"suffix":""},{"dropping-particle":"","family":"Weber","given":"J. M.","non-dropping-particle":"","parse-names":false,"suffix":""}],"container-title":"Applied Microbiology and Biotechnology","id":"ITEM-1","issue":"4","issued":{"date-parts":[["1997"]]},"page":"398-404","title":"Isolation of isoflavones from soy-based fermentations of the erythromycin-producing bacterium Saccharopolyspora erythraea","type":"article-journal","volume":"47"},"uris":["http://www.mendeley.com/documents/?uuid=ef56f7ac-4d30-4776-87bd-0d47b6559c0a","http://www.mendeley.com/documents/?uuid=73c7386c-2be1-4c27-b541-43f4b48a8c79"]},{"id":"ITEM-2","itemData":{"DOI":"10.1128/AEM.01759-08","ISSN":"00992240","PMID":"18836015","abstract":"Isoflavone glucosides are valuable nutraceutical compounds and are present in commercial fermentations, such as the erythromycin fermentation, as constituents of the soy flour in the growth medium. The purpose of this study was to develop a method for recovery of the isoflavone glucosides as value-added coproducts at the end of either Saccharopolyspora erythraea or Aeromicrobium erythreum fermentation. Because the first step in isoflavone metabolism was known to be the conversion of isoflavone glucosides to aglycones by a β-glucosidase, we chose to knock out the only β-glucosidase gene known at the start of the study, eryBI, to see what effect this had on metabolism of isoflavone glucosides in each organism. In the unicellular erythromycin producer A. erythreum, knockout of eryBI was sufficient to block the conversion of isoflavone glucosides to aglycones. In S. erythraea, knockout of eryBI had no effect on this reaction, suggesting that other β-glucosidases are present. Erythromycin production was not significantly affected in either strain as a result of the eryBI knockout. This study showed that isoflavone metabolism could be blocked in A. erythreum by eryBI knockout but that eryBI knockout was not sufficient to block isoflavone metabolism in S. erythraea. Copyright © 2008, American Society for Microbiology. All Rights Reserved.","author":[{"dropping-particle":"","family":"Reeves","given":"Andrew R.","non-dropping-particle":"","parse-names":false,"suffix":""},{"dropping-particle":"","family":"Seshadri","given":"Ramya","non-dropping-particle":"","parse-names":false,"suffix":""},{"dropping-particle":"","family":"Brikun","given":"Igor A.","non-dropping-particle":"","parse-names":false,"suffix":""},{"dropping-particle":"","family":"Cernota","given":"William H.","non-dropping-particle":"","parse-names":false,"suffix":""},{"dropping-particle":"","family":"Gonzalez","given":"Melissa C.","non-dropping-particle":"","parse-names":false,"suffix":""},{"dropping-particle":"","family":"Weber","given":"J. Mark","non-dropping-particle":"","parse-names":false,"suffix":""}],"container-title":"Applied and Environmental Microbiology","id":"ITEM-2","issue":"23","issued":{"date-parts":[["2008"]]},"page":"7383-7390","title":"Knockout of the erythromycin biosynthetic cluster gene, eryBI, blocks isoflavone glucoside bioconversion during erythromycin fermentations in Aeromicrobium erythreum but not in Saccharopolyspora erythraea","type":"article-journal","volume":"74"},"uris":["http://www.mendeley.com/documents/?uuid=a64f08b6-ac47-47a4-9435-ba14f6f8890a","http://www.mendeley.com/documents/?uuid=462f120d-e597-453c-b7b7-23561444b797"]},{"id":"ITEM-3","itemData":{"DOI":"10.1007/s00253-013-4839-4","ISSN":"01757598","PMID":"23604533","abstract":"The objective of this study was to follow the metabolic fate of isoflavone glucosides from the soybean meal in a model industrial fermentation to determine if commercially useful isoflavones could be harvested as coproducts from the spent broth at the end of the fermentation. The isoflavone aglycones, genistein, and daidzein together make up 0.1-0.2 % of the soybean meal by weight but serve no known function in the manufacturing process. After feeding genistein to washed cells of the erythromycin-producing organism, Saccharopolyspora erythraea, the first biotransformation product (Gbp1) was determined by X-ray crystallography to be genistein-7-O-α-rhamnoside (rhamnosylgenistein). Subsequent feeding of rhamnosylgenistein to growing cells of Saccharopolyspora erythraea led to the production of a second biotransformation product, Gbp2. Chromatographic evidence suggested that Gbp2 accumulated in the spent broth of the erythromycin fermentation. When the spent broth was hydrolyzed with acid or industrial enzyme preparations, the isoflavone biotransformation products were returned back to their parental forms, genistein and daidzein, which were then recovered as coproducts. Desirable features of this method are that it does not require modification of the erythromycin manufacturing process or genetic engineering of the producing organism to be put into practice. A preliminary investigation of five additional antibiotic fermentations of industrial importance also found isoflavone coproduct potential. © 2013 Springer-Verlag Berlin Heidelberg.","author":[{"dropping-particle":"","family":"Weber","given":"J. Mark","non-dropping-particle":"","parse-names":false,"suffix":""},{"dropping-particle":"","family":"Reeves","given":"Andrew R.","non-dropping-particle":"","parse-names":false,"suffix":""},{"dropping-particle":"","family":"Seshadri","given":"Ramya","non-dropping-particle":"","parse-names":false,"suffix":""},{"dropping-particle":"","family":"Cernota","given":"William H.","non-dropping-particle":"","parse-names":false,"suffix":""},{"dropping-particle":"","family":"Gonzalez","given":"Melissa C.","non-dropping-particle":"","parse-names":false,"suffix":""},{"dropping-particle":"","family":"Gray","given":"Danielle L.","non-dropping-particle":"","parse-names":false,"suffix":""},{"dropping-particle":"","family":"Wesley","given":"Roy K.","non-dropping-particle":"","parse-names":false,"suffix":""}],"container-title":"Applied Microbiology and Biotechnology","id":"ITEM-3","issue":"14","issued":{"date-parts":[["2013"]]},"page":"6427-6437","title":"Biotransformation and recovery of the isoflavones genistein and daidzein from industrial antibiotic fermentations","type":"article-journal","volume":"97"},"uris":["http://www.mendeley.com/documents/?uuid=27001abd-8d65-48ff-8b5a-96f8cc768898","http://www.mendeley.com/documents/?uuid=3bcae6f9-f262-401f-9cfe-d6de453842e2"]}],"mendeley":{"formattedCitation":"&lt;sup&gt;[12–14]&lt;/sup&gt;","plainTextFormattedCitation":"[12–14]","previouslyFormattedCitation":"&lt;sup&gt;[12–14]&lt;/sup&gt;"},"properties":{"noteIndex":0},"schema":"https://github.com/citation-style-language/schema/raw/master/csl-citation.json"}</w:instrText>
      </w:r>
      <w:r w:rsidR="00D04204" w:rsidRPr="00A02BDC">
        <w:rPr>
          <w:lang w:val="en-AU"/>
        </w:rPr>
        <w:fldChar w:fldCharType="separate"/>
      </w:r>
      <w:r w:rsidR="00DA261D" w:rsidRPr="00A02BDC">
        <w:rPr>
          <w:noProof/>
          <w:vertAlign w:val="superscript"/>
          <w:lang w:val="en-AU"/>
        </w:rPr>
        <w:t>[12–14]</w:t>
      </w:r>
      <w:r w:rsidR="00D04204" w:rsidRPr="00A02BDC">
        <w:rPr>
          <w:lang w:val="en-AU"/>
        </w:rPr>
        <w:fldChar w:fldCharType="end"/>
      </w:r>
      <w:r w:rsidR="00D04204" w:rsidRPr="00A02BDC">
        <w:rPr>
          <w:lang w:val="en-AU"/>
        </w:rPr>
        <w:t xml:space="preserve"> </w:t>
      </w:r>
      <w:r w:rsidR="007056D2" w:rsidRPr="00A02BDC">
        <w:rPr>
          <w:lang w:val="en-AU"/>
        </w:rPr>
        <w:t xml:space="preserve">The use of purified </w:t>
      </w:r>
      <w:r w:rsidR="007056D2" w:rsidRPr="00A02BDC">
        <w:rPr>
          <w:rFonts w:cs="Times New Roman"/>
          <w:lang w:val="en-AU"/>
        </w:rPr>
        <w:t>β</w:t>
      </w:r>
      <w:r w:rsidR="007056D2" w:rsidRPr="00A02BDC">
        <w:rPr>
          <w:lang w:val="en-AU"/>
        </w:rPr>
        <w:t xml:space="preserve">-glucosidases for isoflavone aglycon production from soy flour has also been investigated, in particular </w:t>
      </w:r>
      <w:r w:rsidR="001031AF" w:rsidRPr="00A02BDC">
        <w:rPr>
          <w:lang w:val="en-AU"/>
        </w:rPr>
        <w:t xml:space="preserve">from the thermophilic bacteria </w:t>
      </w:r>
      <w:r w:rsidR="001031AF" w:rsidRPr="00A02BDC">
        <w:rPr>
          <w:i/>
          <w:iCs/>
          <w:lang w:val="en-AU"/>
        </w:rPr>
        <w:t>Thermotoga maritima</w:t>
      </w:r>
      <w:r w:rsidR="007056D2" w:rsidRPr="00A02BDC">
        <w:rPr>
          <w:lang w:val="en-AU"/>
        </w:rPr>
        <w:t xml:space="preserve"> </w:t>
      </w:r>
      <w:r w:rsidR="001031AF" w:rsidRPr="00A02BDC">
        <w:rPr>
          <w:lang w:val="en-AU"/>
        </w:rPr>
        <w:t xml:space="preserve">and </w:t>
      </w:r>
      <w:r w:rsidR="001031AF" w:rsidRPr="00A02BDC">
        <w:rPr>
          <w:i/>
          <w:iCs/>
          <w:lang w:val="en-AU"/>
        </w:rPr>
        <w:t>Thermoanaerobacter ethanolicus JW200</w:t>
      </w:r>
      <w:r w:rsidR="001031AF" w:rsidRPr="00A02BDC">
        <w:rPr>
          <w:lang w:val="en-AU"/>
        </w:rPr>
        <w:t xml:space="preserve">. However, these enzymes required defatting of the soy flour using hexane </w:t>
      </w:r>
      <w:r w:rsidR="00D722A1" w:rsidRPr="00A02BDC">
        <w:rPr>
          <w:lang w:val="en-AU"/>
        </w:rPr>
        <w:t>(an undesirable neurotoxic solvent</w:t>
      </w:r>
      <w:r w:rsidR="00D722A1" w:rsidRPr="00A02BDC">
        <w:rPr>
          <w:lang w:val="en-AU"/>
        </w:rPr>
        <w:fldChar w:fldCharType="begin" w:fldLock="1"/>
      </w:r>
      <w:r w:rsidR="00F864F2" w:rsidRPr="00A02BDC">
        <w:rPr>
          <w:lang w:val="en-AU"/>
        </w:rPr>
        <w:instrText>ADDIN CSL_CITATION {"citationItems":[{"id":"ITEM-1","itemData":{"DOI":"10.1039/c4gc01149j","ISSN":"14639270","abstract":"The data given in the published solvent guides have been compiled. An acceptable alignment of the classifications could be met.Several solvent selection guides have been published, in different formats, reflecting the culture of their institutions. The data given in these guides have been compiled, and where possible combined, in order to allow a ranking comparison. Of the 51 solvents considered, an acceptable alignment of the classifications could be met, permitting a ranking into four categories: recommended, problematic, hazardous and highly hazardous. 17 solvents (33%) could not be unequivocally ranked by this simplified analysis, thus reflecting differences in the weighing of criteria between the institutions.","author":[{"dropping-particle":"","family":"Prat","given":"Denis","non-dropping-particle":"","parse-names":false,"suffix":""},{"dropping-particle":"","family":"Hayler","given":"John","non-dropping-particle":"","parse-names":false,"suffix":""},{"dropping-particle":"","family":"Wells","given":"Andy","non-dropping-particle":"","parse-names":false,"suffix":""}],"container-title":"Green Chemistry","id":"ITEM-1","issue":"10","issued":{"date-parts":[["2014"]]},"page":"4546-4551","publisher":"Royal Society of Chemistry","title":"A survey of solvent selection guides","type":"article-journal","volume":"16"},"uris":["http://www.mendeley.com/documents/?uuid=30ff6166-49ce-46b2-8f9c-c9f6e5f7da0b","http://www.mendeley.com/documents/?uuid=48b4f04d-434f-472f-a59f-8f7f02600fe1"]}],"mendeley":{"formattedCitation":"&lt;sup&gt;[15]&lt;/sup&gt;","plainTextFormattedCitation":"[15]","previouslyFormattedCitation":"&lt;sup&gt;[15]&lt;/sup&gt;"},"properties":{"noteIndex":0},"schema":"https://github.com/citation-style-language/schema/raw/master/csl-citation.json"}</w:instrText>
      </w:r>
      <w:r w:rsidR="00D722A1" w:rsidRPr="00A02BDC">
        <w:rPr>
          <w:lang w:val="en-AU"/>
        </w:rPr>
        <w:fldChar w:fldCharType="separate"/>
      </w:r>
      <w:r w:rsidR="00D722A1" w:rsidRPr="00A02BDC">
        <w:rPr>
          <w:noProof/>
          <w:vertAlign w:val="superscript"/>
          <w:lang w:val="en-AU"/>
        </w:rPr>
        <w:t>[15]</w:t>
      </w:r>
      <w:r w:rsidR="00D722A1" w:rsidRPr="00A02BDC">
        <w:rPr>
          <w:lang w:val="en-AU"/>
        </w:rPr>
        <w:fldChar w:fldCharType="end"/>
      </w:r>
      <w:r w:rsidR="00D722A1" w:rsidRPr="00A02BDC">
        <w:rPr>
          <w:lang w:val="en-AU"/>
        </w:rPr>
        <w:t>)</w:t>
      </w:r>
      <w:r w:rsidR="001031AF" w:rsidRPr="00A02BDC">
        <w:rPr>
          <w:lang w:val="en-AU"/>
        </w:rPr>
        <w:t xml:space="preserve"> and high </w:t>
      </w:r>
      <w:r w:rsidR="00D63BAF" w:rsidRPr="00A02BDC">
        <w:rPr>
          <w:lang w:val="en-AU"/>
        </w:rPr>
        <w:t>reaction</w:t>
      </w:r>
      <w:r w:rsidR="001031AF" w:rsidRPr="00A02BDC">
        <w:rPr>
          <w:lang w:val="en-AU"/>
        </w:rPr>
        <w:t xml:space="preserve"> temperatures (65-80 °C).</w:t>
      </w:r>
      <w:r w:rsidR="001031AF" w:rsidRPr="00A02BDC">
        <w:rPr>
          <w:lang w:val="en-AU"/>
        </w:rPr>
        <w:fldChar w:fldCharType="begin" w:fldLock="1"/>
      </w:r>
      <w:r w:rsidR="00F864F2" w:rsidRPr="00A02BDC">
        <w:rPr>
          <w:lang w:val="en-AU"/>
        </w:rPr>
        <w:instrText>ADDIN CSL_CITATION {"citationItems":[{"id":"ITEM-1","itemData":{"DOI":"10.1007/s11274-009-0121-4","ISSN":"09593993","abstract":"To produce aglycone isoflavones from soy flour, the β-glucosidase A gene (bglA) of Thermotoga maritima was overexpressed in Escherichia coli BL21-CodonPlus (DE3)-RIL. The Km and Vmax values of the purified BglA for pNPG were 0.43 mM and 323.6 U mg-1, respectively, and those for salicin were 9.0 mM and 183.2 U mg-1, respectively. The biochemical and kinetic characteristics of his-tagged BglA were found to be similar to those of BglA, except for the temperature stability and specific activity. Production of aglycone isoflavones from soy flour by BglA was examined by HPLC. For 3 h at 80°C, all the isoflavone glycosides approximated to the complete conversion into aglycone isoflavones, over seven times higher than that obtained from soy flour without BglA. © Springer Science+Business Media B.V. 2009.","author":[{"dropping-particle":"","family":"Xue","given":"Yemin","non-dropping-particle":"","parse-names":false,"suffix":""},{"dropping-particle":"","family":"Song","given":"Xiangfei","non-dropping-particle":"","parse-names":false,"suffix":""},{"dropping-particle":"","family":"Yu","given":"Jinjin","non-dropping-particle":"","parse-names":false,"suffix":""}],"container-title":"World Journal of Microbiology and Biotechnology","id":"ITEM-1","issue":"12","issued":{"date-parts":[["2009"]]},"page":"2165-2172","title":"Overexpression of β-glucosidase from Thermotoga maritima for the production of highly purified aglycone isoflavones from soy flour","type":"article","volume":"25"},"uris":["http://www.mendeley.com/documents/?uuid=11cf94f8-f179-44a5-b8a8-dfeba106a5fd","http://www.mendeley.com/documents/?uuid=dba5e6dc-f2b3-43d5-9afa-40dd4bbfcc15"]},{"id":"ITEM-2","itemData":{"DOI":"10.1021/jf1046915","ISSN":"00218561","PMID":"21294581","abstract":"A novel thermostable β-glucosidase (Te-BglA) from Thermoanaerobacter ethanolicus JW200 was cloned, characterized and compared for its activity against isoflavone glycosides with two β-glucosidases (Tm-BglA, Tm-BglB) from Thermotoga maritima. Te-BglA exhibited maximum hydrolytic activity toward pNP-β-d-glucopyranoside (pNPG) at 80 °C and pH 7.0, was stable for a pH range of 4.6-7.8 and at 65 °C for 3 h, and had the lowest Km for the natural glycoside salicin and the highest relative substrate specificity (kcat/Km)(salicin)/(kcat/K m)(pNPG) among the three enzymes. It converted isoflavone glycosides, including malonyl glycosides, in soybean flour to their aglycons more efficiently than Tm-BglA and Tm-BglB. After 3 h of incubation at 65 °C, Te-BglA produced complete hydrolysis of four isoflavone glycosides (namely, daidzin, genistin and their malonylated forms), exhibiting higher productivity of genistein and daidzein than the other two β-glucosidases. Our results suggest that Te-BglA is preferable to Tm-BglA and Tm-BglB, but all three enzymes have great potential applications in converting isoflavone glycosides into their aglycons. © 2011 American Chemical Society.","author":[{"dropping-particle":"","family":"Song","given":"Xiangfei","non-dropping-particle":"","parse-names":false,"suffix":""},{"dropping-particle":"","family":"Xue","given":"Yemin","non-dropping-particle":"","parse-names":false,"suffix":""},{"dropping-particle":"","family":"Wang","given":"Qilei","non-dropping-particle":"","parse-names":false,"suffix":""},{"dropping-particle":"","family":"Wu","given":"Xixi","non-dropping-particle":"","parse-names":false,"suffix":""}],"container-title":"Journal of Agricultural and Food Chemistry","id":"ITEM-2","issue":"5","issued":{"date-parts":[["2011"]]},"page":"1954-1961","title":"Comparison of three thermostable β-glucosidases for application in the hydrolysis of soybean isoflavone glycosides","type":"article-journal","volume":"59"},"uris":["http://www.mendeley.com/documents/?uuid=b4bb60b4-cd67-480a-827e-144abfa79f1a","http://www.mendeley.com/documents/?uuid=176fa662-7005-4f14-b2f2-1b96bc9b293b"]}],"mendeley":{"formattedCitation":"&lt;sup&gt;[16,17]&lt;/sup&gt;","plainTextFormattedCitation":"[16,17]","previouslyFormattedCitation":"&lt;sup&gt;[16,17]&lt;/sup&gt;"},"properties":{"noteIndex":0},"schema":"https://github.com/citation-style-language/schema/raw/master/csl-citation.json"}</w:instrText>
      </w:r>
      <w:r w:rsidR="001031AF" w:rsidRPr="00A02BDC">
        <w:rPr>
          <w:lang w:val="en-AU"/>
        </w:rPr>
        <w:fldChar w:fldCharType="separate"/>
      </w:r>
      <w:r w:rsidR="00D722A1" w:rsidRPr="00A02BDC">
        <w:rPr>
          <w:noProof/>
          <w:vertAlign w:val="superscript"/>
          <w:lang w:val="en-AU"/>
        </w:rPr>
        <w:t>[16,17]</w:t>
      </w:r>
      <w:r w:rsidR="001031AF" w:rsidRPr="00A02BDC">
        <w:rPr>
          <w:lang w:val="en-AU"/>
        </w:rPr>
        <w:fldChar w:fldCharType="end"/>
      </w:r>
      <w:r w:rsidR="001031AF" w:rsidRPr="00A02BDC">
        <w:rPr>
          <w:lang w:val="en-AU"/>
        </w:rPr>
        <w:t xml:space="preserve"> The use of a GH1 </w:t>
      </w:r>
      <w:r w:rsidR="001031AF" w:rsidRPr="00A02BDC">
        <w:rPr>
          <w:rFonts w:cs="Times New Roman"/>
          <w:lang w:val="en-AU"/>
        </w:rPr>
        <w:t>β</w:t>
      </w:r>
      <w:r w:rsidR="001031AF" w:rsidRPr="00A02BDC">
        <w:rPr>
          <w:lang w:val="en-AU"/>
        </w:rPr>
        <w:t xml:space="preserve">-glucosidase from </w:t>
      </w:r>
      <w:r w:rsidR="001031AF" w:rsidRPr="00A02BDC">
        <w:rPr>
          <w:i/>
          <w:iCs/>
          <w:lang w:val="en-AU"/>
        </w:rPr>
        <w:t>Alicyclobacillus sp. A4</w:t>
      </w:r>
      <w:r w:rsidR="001031AF" w:rsidRPr="00A02BDC">
        <w:rPr>
          <w:lang w:val="en-AU"/>
        </w:rPr>
        <w:t xml:space="preserve"> </w:t>
      </w:r>
      <w:r w:rsidR="00D63BAF" w:rsidRPr="00A02BDC">
        <w:rPr>
          <w:lang w:val="en-AU"/>
        </w:rPr>
        <w:t>as a supplement in soy-based animal feed</w:t>
      </w:r>
      <w:r w:rsidR="001031AF" w:rsidRPr="00A02BDC">
        <w:rPr>
          <w:lang w:val="en-AU"/>
        </w:rPr>
        <w:t xml:space="preserve"> </w:t>
      </w:r>
      <w:r w:rsidR="00D63BAF" w:rsidRPr="00A02BDC">
        <w:rPr>
          <w:lang w:val="en-AU"/>
        </w:rPr>
        <w:t xml:space="preserve">to aid in the release of the aglycon </w:t>
      </w:r>
      <w:r w:rsidR="001031AF" w:rsidRPr="00A02BDC">
        <w:rPr>
          <w:lang w:val="en-AU"/>
        </w:rPr>
        <w:t xml:space="preserve">in </w:t>
      </w:r>
      <w:r w:rsidR="00D63BAF" w:rsidRPr="00A02BDC">
        <w:rPr>
          <w:lang w:val="en-AU"/>
        </w:rPr>
        <w:t xml:space="preserve">monogastric animals </w:t>
      </w:r>
      <w:r w:rsidR="001031AF" w:rsidRPr="00A02BDC">
        <w:rPr>
          <w:lang w:val="en-AU"/>
        </w:rPr>
        <w:t>has also been investigated under milder conditions (37 °C)</w:t>
      </w:r>
      <w:r w:rsidR="00D63BAF" w:rsidRPr="00A02BDC">
        <w:rPr>
          <w:lang w:val="en-AU"/>
        </w:rPr>
        <w:t>,</w:t>
      </w:r>
      <w:r w:rsidR="001031AF" w:rsidRPr="00A02BDC">
        <w:rPr>
          <w:lang w:val="en-AU"/>
        </w:rPr>
        <w:t xml:space="preserve"> but in the absence of the co-solvents required for extracting the aglycons.</w:t>
      </w:r>
      <w:r w:rsidR="001031AF" w:rsidRPr="00A02BDC">
        <w:rPr>
          <w:lang w:val="en-AU"/>
        </w:rPr>
        <w:fldChar w:fldCharType="begin" w:fldLock="1"/>
      </w:r>
      <w:r w:rsidR="00F864F2" w:rsidRPr="00A02BDC">
        <w:rPr>
          <w:lang w:val="en-AU"/>
        </w:rPr>
        <w:instrText>ADDIN CSL_CITATION {"citationItems":[{"id":"ITEM-1","itemData":{"DOI":"10.1007/s10295-018-2040-6","ISSN":"14765535","abstract":"In the feed industry, β-glucosidase has been widely used in the conversion of inactive and bounded soybean isoflavones into active aglycones. However, the conversion is frequently inhibited by the high concentration of intestinal glucose in monogastric animals. In this study, a GH1 β-glucosidase (AsBG1) with high specific activity, thermostability and glucose tolerance (IC 50 = 800 mM) was identified. It showed great glucose tolerance against substrates with hydrophobic aryl ligands (such as pNPG and soy isoflavones). Using soybean meal as the substrate, AsBG1 exhibited higher hydrolysis efficiency than the GH3 counterpart Bgl3A with or without the presence of glucose in the reaction system. Furthermore, it is the first time to find that the endogenous β-glucosidase of soybean meal, mostly belonging to GH3, plays a role in the hydrolysis of soybean isoflavones and is highly sensitive to glucose. These findings lead to a conclusion that the GH1 rather than GH3 β-glucosidase has prosperous application advantages in the conversion of soybean isoflavones in the feed industry.","author":[{"dropping-particle":"","family":"Cao","given":"Huifang","non-dropping-particle":"","parse-names":false,"suffix":""},{"dropping-particle":"","family":"Zhang","given":"Yueqi","non-dropping-particle":"","parse-names":false,"suffix":""},{"dropping-particle":"","family":"Shi","given":"Pengjun","non-dropping-particle":"","parse-names":false,"suffix":""},{"dropping-particle":"","family":"Ma","given":"Rui","non-dropping-particle":"","parse-names":false,"suffix":""},{"dropping-particle":"","family":"Yang","given":"Hong","non-dropping-particle":"","parse-names":false,"suffix":""},{"dropping-particle":"","family":"Xia","given":"Wei","non-dropping-particle":"","parse-names":false,"suffix":""},{"dropping-particle":"","family":"Cui","given":"Ying","non-dropping-particle":"","parse-names":false,"suffix":""},{"dropping-particle":"","family":"Luo","given":"Huiying","non-dropping-particle":"","parse-names":false,"suffix":""},{"dropping-particle":"","family":"Bai","given":"Yingguo","non-dropping-particle":"","parse-names":false,"suffix":""},{"dropping-particle":"","family":"Yao","given":"Bin","non-dropping-particle":"","parse-names":false,"suffix":""}],"container-title":"Journal of Industrial Microbiology and Biotechnology","id":"ITEM-1","issue":"6","issued":{"date-parts":[["2018"]]},"page":"369-378","title":"A highly glucose-tolerant GH1 β-glucosidase with greater conversion rate of soybean isoflavones in monogastric animals","type":"article-journal","volume":"45"},"uris":["http://www.mendeley.com/documents/?uuid=111ea576-ca29-474e-835d-bdcda311ae11","http://www.mendeley.com/documents/?uuid=45161daa-7205-4db3-bd9a-4f06653fbd57"]}],"mendeley":{"formattedCitation":"&lt;sup&gt;[18]&lt;/sup&gt;","plainTextFormattedCitation":"[18]","previouslyFormattedCitation":"&lt;sup&gt;[18]&lt;/sup&gt;"},"properties":{"noteIndex":0},"schema":"https://github.com/citation-style-language/schema/raw/master/csl-citation.json"}</w:instrText>
      </w:r>
      <w:r w:rsidR="001031AF" w:rsidRPr="00A02BDC">
        <w:rPr>
          <w:lang w:val="en-AU"/>
        </w:rPr>
        <w:fldChar w:fldCharType="separate"/>
      </w:r>
      <w:r w:rsidR="00D722A1" w:rsidRPr="00A02BDC">
        <w:rPr>
          <w:noProof/>
          <w:vertAlign w:val="superscript"/>
          <w:lang w:val="en-AU"/>
        </w:rPr>
        <w:t>[18]</w:t>
      </w:r>
      <w:r w:rsidR="001031AF" w:rsidRPr="00A02BDC">
        <w:rPr>
          <w:lang w:val="en-AU"/>
        </w:rPr>
        <w:fldChar w:fldCharType="end"/>
      </w:r>
      <w:r w:rsidR="001031AF" w:rsidRPr="00A02BDC">
        <w:rPr>
          <w:lang w:val="en-AU"/>
        </w:rPr>
        <w:t xml:space="preserve"> </w:t>
      </w:r>
      <w:r w:rsidR="00AF44D3" w:rsidRPr="00A02BDC">
        <w:rPr>
          <w:lang w:val="en-AU"/>
        </w:rPr>
        <w:t>Again</w:t>
      </w:r>
      <w:r w:rsidR="008E27F2" w:rsidRPr="00A02BDC">
        <w:rPr>
          <w:lang w:val="en-AU"/>
        </w:rPr>
        <w:t xml:space="preserve">, </w:t>
      </w:r>
      <w:r w:rsidR="00AC42F4" w:rsidRPr="00A02BDC">
        <w:rPr>
          <w:lang w:val="en-AU"/>
        </w:rPr>
        <w:t xml:space="preserve">many </w:t>
      </w:r>
      <w:r w:rsidR="00AC42F4" w:rsidRPr="00A02BDC">
        <w:rPr>
          <w:rFonts w:cs="Times New Roman"/>
          <w:lang w:val="en-AU"/>
        </w:rPr>
        <w:t>β</w:t>
      </w:r>
      <w:r w:rsidR="00AC42F4" w:rsidRPr="00A02BDC">
        <w:rPr>
          <w:lang w:val="en-AU"/>
        </w:rPr>
        <w:t xml:space="preserve">-glucosidases </w:t>
      </w:r>
      <w:r w:rsidR="00AF44D3" w:rsidRPr="00A02BDC">
        <w:rPr>
          <w:lang w:val="en-AU"/>
        </w:rPr>
        <w:t xml:space="preserve">reported to date </w:t>
      </w:r>
      <w:r w:rsidR="00AC42F4" w:rsidRPr="00A02BDC">
        <w:rPr>
          <w:lang w:val="en-AU"/>
        </w:rPr>
        <w:t xml:space="preserve">from mesophilic organisms are inhibited </w:t>
      </w:r>
      <w:r w:rsidR="00AC42F4" w:rsidRPr="00A02BDC">
        <w:rPr>
          <w:lang w:val="en-AU"/>
        </w:rPr>
        <w:lastRenderedPageBreak/>
        <w:t xml:space="preserve">by </w:t>
      </w:r>
      <w:r w:rsidR="00D61A63" w:rsidRPr="00A02BDC">
        <w:rPr>
          <w:lang w:val="en-AU"/>
        </w:rPr>
        <w:t xml:space="preserve">both </w:t>
      </w:r>
      <w:r w:rsidR="00AC42F4" w:rsidRPr="00A02BDC">
        <w:rPr>
          <w:lang w:val="en-AU"/>
        </w:rPr>
        <w:t>organic solvents</w:t>
      </w:r>
      <w:r w:rsidR="00353E35" w:rsidRPr="00A02BDC">
        <w:rPr>
          <w:lang w:val="en-AU"/>
        </w:rPr>
        <w:t>.</w:t>
      </w:r>
      <w:r w:rsidR="003F3256" w:rsidRPr="00A02BDC">
        <w:fldChar w:fldCharType="begin" w:fldLock="1"/>
      </w:r>
      <w:r w:rsidR="00E40555" w:rsidRPr="00A02BDC">
        <w:rPr>
          <w:vertAlign w:val="superscript"/>
          <w:lang w:val="en-AU"/>
        </w:rPr>
        <w:instrText>ADDIN CSL_CITATION {"citationItems":[{"id":"ITEM-1","itemData":{"DOI":"10.1016/j.molcatb.2013.07.002","ISSN":"18733158","abstract":"Random mutagenesis was applied for development of organic solvent tolerant β-glucosidase I (BGLI) of Pichia etchellsii to extend its use for glyco-conjugate synthesis in non-aqueous medium. Previously cloned BGL1 encoding β-glucosidase I (BGLI) was subjected to error prone PCR and the mutant library was cloned in pPIC9 followed by transformation into Pichia pastoris. Transformants were first selected forfunctional β-glucosidase phenotype followed by screening for organic solvent tolerance in acetonitrile, dimethylformamide, dimethyl sulfoxide, methanol, 2-propanol. One of the enzyme variants, named, OT-BGLI exhibited 1.7- to 10-fold higher stability in 20-30% (v/v) methanol, 2-propanol, dimethylformamide compared to the wild type enzyme. This property was also accompanied by higher the rmostability of theenzyme in aqueous buffer solution. Three of the six mutations (other 3 being silent) were mapped in the non-conserved regions of the gene. Modeled structure of the enzyme pin pointed increased hydrogen bonds, intra-ionic interactions (contributed by G414D and N789D replacements), facilitated proton exchange in organic solvents (contributed by Y722H) to be the causative agents for enhanced organic solvent stability and thermostability. Secondary structure of the mutant enzyme was similar to the wild type enzyme. Simultaneous enhanced organic solvent and thermal stability makes this enzyme an ideal candidate for glycoconjugate synthesis in aqueous-organic solvent systems. © 2013 Elsevier B.V.","author":[{"dropping-particle":"","family":"Batra","given":"Jyoti","non-dropping-particle":"","parse-names":false,"suffix":""},{"dropping-particle":"","family":"Mishra","given":"Saroj","non-dropping-particle":"","parse-names":false,"suffix":""}],"container-title":"Journal of Molecular Catalysis B: Enzymatic","id":"ITEM-1","issued":{"date-parts":[["2013"]]},"page":"61-66","publisher":"Elsevier B.V.","title":"Organic solvent tolerance and thermostability of a β-glucosidase co-engineered by random mutagenesis","type":"article-journal","volume":"96"},"uris":["http://www.mendeley.com/documents/?uuid=a23055ca-a339-457b-9e50-d6300bc57f6a"]}],"mendeley":{"formattedCitation":"&lt;sup&gt;[19]&lt;/sup&gt;","plainTextFormattedCitation":"[19]","previouslyFormattedCitation":"&lt;sup&gt;[19]&lt;/sup&gt;"},"properties":{"noteIndex":0},"schema":"https://github.com/citation-style-language/schema/raw/master/csl-citation.json"}</w:instrText>
      </w:r>
      <w:r w:rsidR="003F3256" w:rsidRPr="00A02BDC">
        <w:fldChar w:fldCharType="separate"/>
      </w:r>
      <w:r w:rsidR="00D722A1" w:rsidRPr="00A02BDC">
        <w:rPr>
          <w:noProof/>
          <w:vertAlign w:val="superscript"/>
          <w:lang w:val="en-AU"/>
        </w:rPr>
        <w:t>[19]</w:t>
      </w:r>
      <w:r w:rsidR="003F3256" w:rsidRPr="00A02BDC">
        <w:fldChar w:fldCharType="end"/>
      </w:r>
      <w:r w:rsidR="00AC42F4" w:rsidRPr="00A02BDC">
        <w:rPr>
          <w:lang w:val="en-AU"/>
        </w:rPr>
        <w:t xml:space="preserve"> and glucose</w:t>
      </w:r>
      <w:r w:rsidR="00353E35" w:rsidRPr="00A02BDC">
        <w:rPr>
          <w:lang w:val="en-AU"/>
        </w:rPr>
        <w:t>,</w:t>
      </w:r>
      <w:r w:rsidR="003F3256" w:rsidRPr="00A02BDC">
        <w:rPr>
          <w:rStyle w:val="FootnoteReference"/>
          <w:lang w:val="en-AU"/>
        </w:rPr>
        <w:fldChar w:fldCharType="begin" w:fldLock="1"/>
      </w:r>
      <w:r w:rsidR="00E40555" w:rsidRPr="00A02BDC">
        <w:rPr>
          <w:vertAlign w:val="superscript"/>
          <w:lang w:val="en-AU"/>
        </w:rPr>
        <w:instrText>ADDIN CSL_CITATION {"citationItems":[{"id":"ITEM-1","itemData":{"DOI":"10.1107/S1399004714006920","ISBN":"1399004714006","ISSN":"13990047","PMID":"24914974","abstract":"Product inhibition of β-glucosidases (BGs) by glucose is considered to be a limiting step in enzymatic technologies for plant-biomass saccharification. Remarkably, some β-glucosidases belonging to the GH1 family exhibit unusual properties, being tolerant to, or even stimulated by, high glucose concentrations. However, the structural basis for the glucose tolerance and stimulation of BGs is still elusive. To address this issue, the first crystal structure of a fungal β-glucosidase stimulated by glucose was solved in native and glucose-complexed forms, revealing that the shape and electrostatic properties of the entrance to the active site, including the +2 subsite, determine glucose tolerance. The aromatic Trp168 and the aliphatic Leu173 are conserved in glucose-tolerant GH1 enzymes and contribute to relieving enzyme inhibition by imposing constraints at the +2 subsite that limit the access of glucose to the −1 subsite. The GH1 family β-glucosidases are tenfold to 1000-fold more glucose tolerant than GH3 BGs, and comparative structural analysis shows a clear correlation between active-site accessibility and glucose tolerance. The active site of GH1 BGs is located in a deep and narrow cavity, which is in contrast to the shallow pocket in the GH3 family BGs. These findings shed light on the molecular basis for glucose tolerance and indicate that GH1 BGs are more suitable than GH3 BGs for biotechnological applications involving plant cell-wall saccharification.","author":[{"dropping-particle":"","family":"Giuseppe","given":"Priscila Oliveira","non-dropping-particle":"De","parse-names":false,"suffix":""},{"dropping-particle":"","family":"Souza","given":"Tatiana De Arruda Campos Brasil","non-dropping-particle":"","parse-names":false,"suffix":""},{"dropping-particle":"","family":"Souza","given":"Flavio Henrique Moreira","non-dropping-particle":"","parse-names":false,"suffix":""},{"dropping-particle":"","family":"Zanphorlin","given":"Leticia Maria","non-dropping-particle":"","parse-names":false,"suffix":""},{"dropping-particle":"","family":"Machado","given":"Carla Botelho","non-dropping-particle":"","parse-names":false,"suffix":""},{"dropping-particle":"","family":"Ward","given":"Richard John","non-dropping-particle":"","parse-names":false,"suffix":""},{"dropping-particle":"","family":"Jorge","given":"Joao Atilio","non-dropping-particle":"","parse-names":false,"suffix":""},{"dropping-particle":"","family":"Furriel","given":"Rosa Dos Prazeres Melo","non-dropping-particle":"","parse-names":false,"suffix":""},{"dropping-particle":"","family":"Murakami","given":"Mario Tyago","non-dropping-particle":"","parse-names":false,"suffix":""}],"container-title":"Acta Crystallographica Section D: Biological Crystallography","id":"ITEM-1","issue":"6","issued":{"date-parts":[["2014"]]},"page":"1631-1639","publisher":"International Union of Crystallography","title":"Structural basis for glucose tolerance in GH1 β-glucosidases","type":"article-journal","volume":"70"},"uris":["http://www.mendeley.com/documents/?uuid=25e25bee-4928-417f-a973-d901d789c9c2"]},{"id":"ITEM-2","itemData":{"DOI":"10.1186/s13068-016-0587-x","ISBN":"1306801605","ISSN":"1754-6834","abstract":"© 2016 The Author(s).Background: In general, biofuel production involves biomass pretreatment and enzymatic saccharification, followed by the subsequent sugar conversion to biofuel via fermentation. The crucial step in the production of biofuel from biomass is the enzymatic saccharification. Many of the commercial cellulase enzyme cocktails, such as Spezyme® CP (Genencor), Acellerase™ 1000 (Genencor), and Celluclast® 1.5L (Novozymes), are ineffectively to release free glucose from the pretreated biomass without additional β-glucosidase. Results: In this study, for the first time, a β-glucosidase DT-Bgl gene (1359 bp) was identified in the genome of Anoxybacillus sp. DT3-1, and cloned and heterologously expressed in Escherichia coli BL21. Phylogenetic analysis indicated that DT-Bgl belonged to glycosyl hydrolase (GH) family 1. The recombinant DT-Bgl was highly active on cello-oligosaccharides and p-nitrophenyl-β-d-glucopyranoside (pNPG). The DT-Bgl was purified using an Ni-NTA column, with molecular mass of 53 kDa using an SDS-PAGE analysis. It exhibited optimum activity at 70 °C and pH 8.5, and did not require any tested co-factors for activation. The K m and V max values for DT-Bgl were 0.22 mM and 923.7 U/mg, respectively, with pNPG as substrate. The DT-Bgl displayed high glucose tolerance, and retained 93 % activity in the presence of 10 M glucose. Conclusions: Anoxybacillus DT-Bgl is a novel thermostable β-glucosidase with low glucose inhibition, and converts long-chain cellodextrins to cellobiose, and further hydrolyse cellobiose to glucose. Results suggest that DT-Bgl could be useful in the development of a bioprocess for the efficient saccharification of lignocellulosic biomass.","author":[{"dropping-particle":"","family":"Chan","given":"Chia Sing","non-dropping-particle":"","parse-names":false,"suffix":""},{"dropping-particle":"","family":"Sin","given":"Lee Li","non-dropping-particle":"","parse-names":false,"suffix":""},{"dropping-particle":"","family":"Chan","given":"Kok-Gan","non-dropping-particle":"","parse-names":false,"suffix":""},{"dropping-particle":"","family":"Shamsir","given":"Mohd Shahir","non-dropping-particle":"","parse-names":false,"suffix":""},{"dropping-particle":"","family":"Manan","given":"Fazilah Abd","non-dropping-particle":"","parse-names":false,"suffix":""},{"dropping-particle":"","family":"Sani","given":"Rajesh Kumar","non-dropping-particle":"","parse-names":false,"suffix":""},{"dropping-particle":"","family":"Goh","given":"Kian Mau","non-dropping-particle":"","parse-names":false,"suffix":""}],"container-title":"Biotechnology for Biofuels","id":"ITEM-2","issue":"1","issued":{"date-parts":[["2016"]]},"page":"174","publisher":"BioMed Central","title":"Characterization of a glucose-tolerant β-glucosidase from Anoxybacillus sp. DT3-1","type":"article-journal","volume":"9"},"uris":["http://www.mendeley.com/documents/?uuid=8a3c4a5e-c29a-467d-b68d-cfb494c0ef9a"]}],"mendeley":{"formattedCitation":"&lt;sup&gt;[20,21]&lt;/sup&gt;","plainTextFormattedCitation":"[20,21]","previouslyFormattedCitation":"&lt;sup&gt;[20,21]&lt;/sup&gt;"},"properties":{"noteIndex":0},"schema":"https://github.com/citation-style-language/schema/raw/master/csl-citation.json"}</w:instrText>
      </w:r>
      <w:r w:rsidR="003F3256" w:rsidRPr="00A02BDC">
        <w:rPr>
          <w:rStyle w:val="FootnoteReference"/>
          <w:lang w:val="en-AU"/>
        </w:rPr>
        <w:fldChar w:fldCharType="separate"/>
      </w:r>
      <w:r w:rsidR="00D722A1" w:rsidRPr="00A02BDC">
        <w:rPr>
          <w:bCs/>
          <w:noProof/>
          <w:vertAlign w:val="superscript"/>
          <w:lang w:val="en-US"/>
        </w:rPr>
        <w:t>[20,21]</w:t>
      </w:r>
      <w:r w:rsidR="003F3256" w:rsidRPr="00A02BDC">
        <w:rPr>
          <w:rStyle w:val="FootnoteReference"/>
          <w:lang w:val="en-AU"/>
        </w:rPr>
        <w:fldChar w:fldCharType="end"/>
      </w:r>
      <w:r w:rsidR="00AF44D3" w:rsidRPr="00A02BDC">
        <w:rPr>
          <w:lang w:val="en-AU"/>
        </w:rPr>
        <w:t xml:space="preserve"> which would be present at increasing concentrations as the hydrolytic process progresses</w:t>
      </w:r>
      <w:r w:rsidR="00AC42F4" w:rsidRPr="00A02BDC">
        <w:rPr>
          <w:lang w:val="en-AU"/>
        </w:rPr>
        <w:t xml:space="preserve">. </w:t>
      </w:r>
    </w:p>
    <w:p w14:paraId="3E46CA62" w14:textId="3AEF2178" w:rsidR="003525E1" w:rsidRPr="00A02BDC" w:rsidRDefault="007F0EE3" w:rsidP="004A2FCA">
      <w:pPr>
        <w:jc w:val="both"/>
      </w:pPr>
      <w:r w:rsidRPr="00A02BDC">
        <w:t>In this work, a</w:t>
      </w:r>
      <w:r w:rsidR="003525E1" w:rsidRPr="00A02BDC">
        <w:t xml:space="preserve"> </w:t>
      </w:r>
      <w:r w:rsidR="004421A9" w:rsidRPr="00A02BDC">
        <w:t>novel β</w:t>
      </w:r>
      <w:r w:rsidR="003525E1" w:rsidRPr="00A02BDC">
        <w:t>-gl</w:t>
      </w:r>
      <w:r w:rsidR="008E27F2" w:rsidRPr="00A02BDC">
        <w:t>u</w:t>
      </w:r>
      <w:r w:rsidR="003525E1" w:rsidRPr="00A02BDC">
        <w:t>cosidase</w:t>
      </w:r>
      <w:r w:rsidR="00CB69A1" w:rsidRPr="00A02BDC">
        <w:t xml:space="preserve"> (</w:t>
      </w:r>
      <w:hyperlink r:id="rId9" w:tgtFrame="lnkT2JDKDKK016" w:tooltip="Show report for WP_026963033.1" w:history="1">
        <w:r w:rsidR="00CB69A1" w:rsidRPr="00A02BDC">
          <w:t>WP_026963033.1</w:t>
        </w:r>
      </w:hyperlink>
      <w:r w:rsidR="00CB69A1" w:rsidRPr="00A02BDC">
        <w:t>)</w:t>
      </w:r>
      <w:r w:rsidR="003525E1" w:rsidRPr="00A02BDC">
        <w:t xml:space="preserve"> </w:t>
      </w:r>
      <w:r w:rsidRPr="00A02BDC">
        <w:t xml:space="preserve">of the glycosyl hydrolase </w:t>
      </w:r>
      <w:r w:rsidR="003525E1" w:rsidRPr="00A02BDC">
        <w:t>family 1</w:t>
      </w:r>
      <w:r w:rsidR="00711131" w:rsidRPr="00A02BDC">
        <w:t xml:space="preserve"> (</w:t>
      </w:r>
      <w:r w:rsidR="00711131" w:rsidRPr="00A02BDC">
        <w:rPr>
          <w:lang w:val="en-AU"/>
        </w:rPr>
        <w:t>GH1)</w:t>
      </w:r>
      <w:r w:rsidR="003525E1" w:rsidRPr="00A02BDC">
        <w:t xml:space="preserve"> from the extremophilic organism </w:t>
      </w:r>
      <w:r w:rsidR="003525E1" w:rsidRPr="00A02BDC">
        <w:rPr>
          <w:i/>
          <w:iCs/>
        </w:rPr>
        <w:t>Alicyclobacillus herbarius</w:t>
      </w:r>
      <w:r w:rsidR="003525E1" w:rsidRPr="00A02BDC">
        <w:t xml:space="preserve"> (</w:t>
      </w:r>
      <w:r w:rsidR="003525E1" w:rsidRPr="00A02BDC">
        <w:rPr>
          <w:i/>
          <w:iCs/>
        </w:rPr>
        <w:t>Ahe</w:t>
      </w:r>
      <w:r w:rsidR="003525E1" w:rsidRPr="00A02BDC">
        <w:t xml:space="preserve">) has been </w:t>
      </w:r>
      <w:r w:rsidR="00D61A63" w:rsidRPr="00A02BDC">
        <w:t>identified and investigated</w:t>
      </w:r>
      <w:r w:rsidRPr="00A02BDC">
        <w:t>.</w:t>
      </w:r>
      <w:r w:rsidR="0037362A" w:rsidRPr="00A02BDC">
        <w:t xml:space="preserve"> </w:t>
      </w:r>
      <w:r w:rsidR="0037362A" w:rsidRPr="00A02BDC">
        <w:rPr>
          <w:i/>
          <w:iCs/>
        </w:rPr>
        <w:t>Ahe</w:t>
      </w:r>
      <w:r w:rsidR="0037362A" w:rsidRPr="00A02BDC">
        <w:t xml:space="preserve"> </w:t>
      </w:r>
      <w:r w:rsidR="00E630AA" w:rsidRPr="00A02BDC">
        <w:t xml:space="preserve">was first isolated from a herbal tea made from dried flowers of hibiscus, it </w:t>
      </w:r>
      <w:r w:rsidR="0037362A" w:rsidRPr="00A02BDC">
        <w:t xml:space="preserve">has been described as a thermo-acidophilic Gram-positive bacterium </w:t>
      </w:r>
      <w:r w:rsidR="00E630AA" w:rsidRPr="00A02BDC">
        <w:t xml:space="preserve">that </w:t>
      </w:r>
      <w:r w:rsidR="0037362A" w:rsidRPr="00A02BDC">
        <w:t xml:space="preserve">grows at </w:t>
      </w:r>
      <w:r w:rsidR="00BA72FB" w:rsidRPr="00A02BDC">
        <w:t>a range of temperature</w:t>
      </w:r>
      <w:r w:rsidR="00371FCA" w:rsidRPr="00A02BDC">
        <w:t>s</w:t>
      </w:r>
      <w:r w:rsidR="00BA72FB" w:rsidRPr="00A02BDC">
        <w:t xml:space="preserve"> between </w:t>
      </w:r>
      <w:r w:rsidR="0037362A" w:rsidRPr="00A02BDC">
        <w:t xml:space="preserve">35-65º C and a pH </w:t>
      </w:r>
      <w:r w:rsidR="00BA72FB" w:rsidRPr="00A02BDC">
        <w:t xml:space="preserve">between </w:t>
      </w:r>
      <w:r w:rsidR="0037362A" w:rsidRPr="00A02BDC">
        <w:t>3.5-6</w:t>
      </w:r>
      <w:r w:rsidR="00BA72FB" w:rsidRPr="00A02BDC">
        <w:t xml:space="preserve">, features </w:t>
      </w:r>
      <w:r w:rsidR="00AF44D3" w:rsidRPr="00A02BDC">
        <w:t xml:space="preserve">which are </w:t>
      </w:r>
      <w:r w:rsidR="00BA72FB" w:rsidRPr="00A02BDC">
        <w:t xml:space="preserve">very appealing for </w:t>
      </w:r>
      <w:r w:rsidR="00D078E5" w:rsidRPr="00A02BDC">
        <w:t xml:space="preserve">different applications in </w:t>
      </w:r>
      <w:r w:rsidR="00BA72FB" w:rsidRPr="00A02BDC">
        <w:t>the food industry market</w:t>
      </w:r>
      <w:r w:rsidR="00353E35" w:rsidRPr="00A02BDC">
        <w:t>.</w:t>
      </w:r>
      <w:r w:rsidR="003F3256" w:rsidRPr="00A02BDC">
        <w:rPr>
          <w:rStyle w:val="FootnoteReference"/>
        </w:rPr>
        <w:fldChar w:fldCharType="begin" w:fldLock="1"/>
      </w:r>
      <w:r w:rsidR="00E40555" w:rsidRPr="00A02BDC">
        <w:rPr>
          <w:vertAlign w:val="superscript"/>
        </w:rPr>
        <w:instrText>ADDIN CSL_CITATION {"citationItems":[{"id":"ITEM-1","itemData":{"DOI":"10.1099/00207713-52-1-109","ISSN":"14665026","abstract":"A thermo-acidophilic Gram-positive bacterium, strain CP-1T, which grows aerobically at 35-65 °C (optimum 55-60 °C) and at pH 3.5-6.0 (optimum pH 4.5-5.0), was isolated from a herbal tea made from the dried flowers of hibiscus. Phylogenetic analysis of the 16S rRNA gene sequences showed that this bacterium was clearly distinguishable from previously described species of the genera Alicyclobacillus and Sulfobacillus. Strain CP-1T had unique ω-cycloheptane fatty acids as the major membrane lipid component, a characteristic which is peculiar to Alicyclobacillus cycloheptanicus. However, phenotypic and chemotaxonomic characteristics of strain CP-1T were different from those of the type strain of A. cycloheptanicus. DNA-DNA hybridization between the type strains of Alicyclobacillus species and Sulfobacillus disulfidooxidans was &lt; 20%, indicating that strain CP-1T represents a distinct species. On the basis of these results, the name Alicyclobacillus herbarius is proposed for this organism. The type strain is strain CP-1T (= DSM 13609T = IAM 14883T = NRIC 0477T).","author":[{"dropping-particle":"","family":"Goto","given":"Keiichi","non-dropping-particle":"","parse-names":false,"suffix":""},{"dropping-particle":"","family":"Matsubara","given":"Hiroshige","non-dropping-particle":"","parse-names":false,"suffix":""},{"dropping-particle":"","family":"Mochida","given":"Kaoru","non-dropping-particle":"","parse-names":false,"suffix":""},{"dropping-particle":"","family":"Matsumura","given":"Terumi","non-dropping-particle":"","parse-names":false,"suffix":""},{"dropping-particle":"","family":"Hara","given":"Yukihiko","non-dropping-particle":"","parse-names":false,"suffix":""},{"dropping-particle":"","family":"Niwa","given":"Motohiro","non-dropping-particle":"","parse-names":false,"suffix":""},{"dropping-particle":"","family":"Yamasato","given":"Kazuhide","non-dropping-particle":"","parse-names":false,"suffix":""}],"container-title":"International Journal of Systematic and Evolutionary Microbiology","id":"ITEM-1","issue":"1","issued":{"date-parts":[["2002"]]},"page":"109-113","title":"Alicyclobacillus herbarius sp. nov., a novel bacterium containing ω-cycloheptane fatty acids, isolated from herbal tea","type":"article-journal","volume":"52"},"uris":["http://www.mendeley.com/documents/?uuid=95cd0aef-25ba-4638-bc69-d55380efbd48"]}],"mendeley":{"formattedCitation":"&lt;sup&gt;[22]&lt;/sup&gt;","plainTextFormattedCitation":"[22]","previouslyFormattedCitation":"&lt;sup&gt;[22]&lt;/sup&gt;"},"properties":{"noteIndex":0},"schema":"https://github.com/citation-style-language/schema/raw/master/csl-citation.json"}</w:instrText>
      </w:r>
      <w:r w:rsidR="003F3256" w:rsidRPr="00A02BDC">
        <w:rPr>
          <w:rStyle w:val="FootnoteReference"/>
        </w:rPr>
        <w:fldChar w:fldCharType="separate"/>
      </w:r>
      <w:r w:rsidR="00D722A1" w:rsidRPr="00A02BDC">
        <w:rPr>
          <w:bCs/>
          <w:noProof/>
          <w:vertAlign w:val="superscript"/>
          <w:lang w:val="en-US"/>
        </w:rPr>
        <w:t>[22]</w:t>
      </w:r>
      <w:r w:rsidR="003F3256" w:rsidRPr="00A02BDC">
        <w:rPr>
          <w:rStyle w:val="FootnoteReference"/>
        </w:rPr>
        <w:fldChar w:fldCharType="end"/>
      </w:r>
      <w:r w:rsidR="0037362A" w:rsidRPr="00A02BDC">
        <w:t xml:space="preserve"> </w:t>
      </w:r>
      <w:r w:rsidR="00D61A63" w:rsidRPr="00A02BDC">
        <w:t xml:space="preserve">The enzyme has been </w:t>
      </w:r>
      <w:r w:rsidR="003525E1" w:rsidRPr="00A02BDC">
        <w:t xml:space="preserve">cloned and expressed in </w:t>
      </w:r>
      <w:r w:rsidR="003525E1" w:rsidRPr="00A02BDC">
        <w:rPr>
          <w:i/>
          <w:iCs/>
        </w:rPr>
        <w:t>E. coli</w:t>
      </w:r>
      <w:r w:rsidR="003525E1" w:rsidRPr="00A02BDC">
        <w:t xml:space="preserve">, its crystal structure has been solved and the enzyme has been characterized </w:t>
      </w:r>
      <w:r w:rsidR="00AF44D3" w:rsidRPr="00A02BDC">
        <w:t xml:space="preserve">to </w:t>
      </w:r>
      <w:r w:rsidR="003525E1" w:rsidRPr="00A02BDC">
        <w:t xml:space="preserve">assess its performance under different operational conditions (glucose, fructose, organic co-solvents and range of pHs and temperatures) usually found in food industrial processes. </w:t>
      </w:r>
      <w:r w:rsidR="009155FD" w:rsidRPr="00A02BDC">
        <w:t xml:space="preserve">Following the initial characterization, </w:t>
      </w:r>
      <w:r w:rsidR="003525E1" w:rsidRPr="00A02BDC">
        <w:rPr>
          <w:i/>
          <w:iCs/>
        </w:rPr>
        <w:t>Ahe</w:t>
      </w:r>
      <w:r w:rsidR="00617556" w:rsidRPr="00A02BDC">
        <w:t>GH1</w:t>
      </w:r>
      <w:r w:rsidR="003525E1" w:rsidRPr="00A02BDC">
        <w:t xml:space="preserve"> </w:t>
      </w:r>
      <w:r w:rsidR="00006DA9" w:rsidRPr="00A02BDC">
        <w:t xml:space="preserve">has been applied to hydrolyse </w:t>
      </w:r>
      <w:r w:rsidR="009155FD" w:rsidRPr="00A02BDC">
        <w:t>the main isoflavone glucosides present in soybean flour</w:t>
      </w:r>
      <w:r w:rsidR="003525E1" w:rsidRPr="00A02BDC">
        <w:t>.</w:t>
      </w:r>
    </w:p>
    <w:p w14:paraId="6BC1382F" w14:textId="77777777" w:rsidR="0017089A" w:rsidRPr="00A02BDC" w:rsidRDefault="0017089A" w:rsidP="00750A9C">
      <w:pPr>
        <w:pStyle w:val="Heading1"/>
        <w:numPr>
          <w:ilvl w:val="0"/>
          <w:numId w:val="0"/>
        </w:numPr>
        <w:ind w:left="432" w:hanging="432"/>
        <w:rPr>
          <w:lang w:val="en-AU"/>
        </w:rPr>
      </w:pPr>
      <w:r w:rsidRPr="00A02BDC">
        <w:rPr>
          <w:lang w:val="en-AU"/>
        </w:rPr>
        <w:t>Results and discussion</w:t>
      </w:r>
    </w:p>
    <w:p w14:paraId="6E954501" w14:textId="02E3C82C" w:rsidR="0017089A" w:rsidRPr="00A02BDC" w:rsidRDefault="0017089A" w:rsidP="00750A9C">
      <w:pPr>
        <w:pStyle w:val="Heading2"/>
        <w:numPr>
          <w:ilvl w:val="0"/>
          <w:numId w:val="0"/>
        </w:numPr>
        <w:ind w:left="576" w:hanging="576"/>
        <w:rPr>
          <w:lang w:val="en-AU"/>
        </w:rPr>
      </w:pPr>
      <w:r w:rsidRPr="00A02BDC">
        <w:rPr>
          <w:lang w:val="en-AU"/>
        </w:rPr>
        <w:t>Protein expression and purification</w:t>
      </w:r>
      <w:r w:rsidR="00996D30" w:rsidRPr="00A02BDC">
        <w:rPr>
          <w:lang w:val="en-AU"/>
        </w:rPr>
        <w:t xml:space="preserve"> </w:t>
      </w:r>
    </w:p>
    <w:p w14:paraId="6F8520C9" w14:textId="21CA9E90" w:rsidR="0017089A" w:rsidRPr="00A02BDC" w:rsidRDefault="0017089A" w:rsidP="0017089A">
      <w:pPr>
        <w:jc w:val="both"/>
        <w:rPr>
          <w:lang w:val="en-AU"/>
        </w:rPr>
      </w:pPr>
      <w:r w:rsidRPr="00A02BDC">
        <w:rPr>
          <w:i/>
          <w:iCs/>
          <w:lang w:val="en-AU"/>
        </w:rPr>
        <w:t>Ahe</w:t>
      </w:r>
      <w:r w:rsidRPr="00A02BDC">
        <w:rPr>
          <w:lang w:val="en-AU"/>
        </w:rPr>
        <w:t xml:space="preserve">GH1 was expressed and purified with excellent yields between 75-100 mg/L of culture. The purification, by metal affinity chromatography, was analysed by SDS-PAGE (Fig. S1). </w:t>
      </w:r>
      <w:r w:rsidRPr="00A02BDC">
        <w:rPr>
          <w:i/>
          <w:iCs/>
          <w:lang w:val="en-AU"/>
        </w:rPr>
        <w:t>Ahe</w:t>
      </w:r>
      <w:r w:rsidRPr="00A02BDC">
        <w:rPr>
          <w:lang w:val="en-AU"/>
        </w:rPr>
        <w:t xml:space="preserve">GH1 has a theoretical </w:t>
      </w:r>
      <w:r w:rsidR="007666C6" w:rsidRPr="00A02BDC">
        <w:rPr>
          <w:lang w:val="en-AU"/>
        </w:rPr>
        <w:t xml:space="preserve">monomeric </w:t>
      </w:r>
      <w:r w:rsidRPr="00A02BDC">
        <w:rPr>
          <w:lang w:val="en-AU"/>
        </w:rPr>
        <w:t>molecular weight of 52133.66 Da (≈52 kDa) estimated by the online tool ProtParam</w:t>
      </w:r>
      <w:r w:rsidR="003F3256" w:rsidRPr="00A02BDC">
        <w:fldChar w:fldCharType="begin" w:fldLock="1"/>
      </w:r>
      <w:r w:rsidR="00E40555" w:rsidRPr="00A02BDC">
        <w:rPr>
          <w:vertAlign w:val="superscript"/>
          <w:lang w:val="en-AU"/>
        </w:rPr>
        <w:instrText>ADDIN CSL_CITATION {"citationItems":[{"id":"ITEM-1","itemData":{"author":[{"dropping-particle":"","family":"Gasteiger E., Hoogland C., Gattiker A., Duvaud S., Wilkins M.R., Appel R.D.","given":"Bairoch A.","non-dropping-particle":"","parse-names":false,"suffix":""}],"editor":[{"dropping-particle":"","family":"Walker","given":"John M.","non-dropping-particle":"","parse-names":false,"suffix":""}],"id":"ITEM-1","issued":{"date-parts":[["2005"]]},"number-of-pages":"571-607","publisher":"Humana Press","title":"The Proteomics Protocols Handbook","type":"book"},"uris":["http://www.mendeley.com/documents/?uuid=f8627a8f-d839-4e80-b0f5-e5d9c17262d6"]}],"mendeley":{"formattedCitation":"&lt;sup&gt;[23]&lt;/sup&gt;","plainTextFormattedCitation":"[23]","previouslyFormattedCitation":"&lt;sup&gt;[23]&lt;/sup&gt;"},"properties":{"noteIndex":0},"schema":"https://github.com/citation-style-language/schema/raw/master/csl-citation.json"}</w:instrText>
      </w:r>
      <w:r w:rsidR="003F3256" w:rsidRPr="00A02BDC">
        <w:fldChar w:fldCharType="separate"/>
      </w:r>
      <w:r w:rsidR="00D722A1" w:rsidRPr="00A02BDC">
        <w:rPr>
          <w:noProof/>
          <w:vertAlign w:val="superscript"/>
          <w:lang w:val="en-AU"/>
        </w:rPr>
        <w:t>[23]</w:t>
      </w:r>
      <w:r w:rsidR="003F3256" w:rsidRPr="00A02BDC">
        <w:fldChar w:fldCharType="end"/>
      </w:r>
      <w:r w:rsidRPr="00A02BDC">
        <w:rPr>
          <w:lang w:val="en-AU"/>
        </w:rPr>
        <w:t xml:space="preserve"> and sufficient degree of purification was confirmed by SDS-PAGE.</w:t>
      </w:r>
      <w:r w:rsidR="00E677F2" w:rsidRPr="00A02BDC">
        <w:rPr>
          <w:lang w:val="en-AU"/>
        </w:rPr>
        <w:t xml:space="preserve"> </w:t>
      </w:r>
      <w:r w:rsidR="00996D30" w:rsidRPr="00A02BDC">
        <w:t xml:space="preserve">The molecular weight was determined to be 99.7 KDa by gel filtration, consistent with it being a dimer in </w:t>
      </w:r>
      <w:r w:rsidR="00121A17" w:rsidRPr="00A02BDC">
        <w:t>solution</w:t>
      </w:r>
      <w:r w:rsidR="00996D30" w:rsidRPr="00A02BDC">
        <w:t xml:space="preserve"> </w:t>
      </w:r>
      <w:r w:rsidR="00996D30" w:rsidRPr="00A02BDC">
        <w:rPr>
          <w:lang w:val="en-AU"/>
        </w:rPr>
        <w:t>(Fig. S2 &amp; Table S1)</w:t>
      </w:r>
      <w:r w:rsidR="00E677F2" w:rsidRPr="00A02BDC">
        <w:rPr>
          <w:lang w:val="en-AU"/>
        </w:rPr>
        <w:t>.</w:t>
      </w:r>
    </w:p>
    <w:p w14:paraId="6147AEBC" w14:textId="77777777" w:rsidR="0017089A" w:rsidRPr="00A02BDC" w:rsidRDefault="0017089A" w:rsidP="00750A9C">
      <w:pPr>
        <w:pStyle w:val="Heading2"/>
        <w:numPr>
          <w:ilvl w:val="0"/>
          <w:numId w:val="0"/>
        </w:numPr>
        <w:ind w:left="576" w:hanging="576"/>
      </w:pPr>
      <w:r w:rsidRPr="00A02BDC">
        <w:t xml:space="preserve">The 3D structure of </w:t>
      </w:r>
      <w:r w:rsidRPr="00A02BDC">
        <w:rPr>
          <w:iCs/>
        </w:rPr>
        <w:t>Ahe</w:t>
      </w:r>
      <w:r w:rsidRPr="00A02BDC">
        <w:t>GH1</w:t>
      </w:r>
    </w:p>
    <w:p w14:paraId="16075BE9" w14:textId="1F114014" w:rsidR="0017089A" w:rsidRPr="00A02BDC" w:rsidRDefault="0017089A" w:rsidP="0017089A">
      <w:pPr>
        <w:jc w:val="both"/>
      </w:pPr>
      <w:r w:rsidRPr="00A02BDC">
        <w:t xml:space="preserve">Crystals of </w:t>
      </w:r>
      <w:r w:rsidRPr="00A02BDC">
        <w:rPr>
          <w:i/>
          <w:iCs/>
        </w:rPr>
        <w:t>Ahe</w:t>
      </w:r>
      <w:r w:rsidRPr="00A02BDC">
        <w:t xml:space="preserve">GH1 enzyme belonging to the monoclinic space group P21 diffracted at 1.98 Å resolution. The asymmetric unit of </w:t>
      </w:r>
      <w:r w:rsidRPr="00A02BDC">
        <w:rPr>
          <w:i/>
          <w:iCs/>
        </w:rPr>
        <w:t>Ahe</w:t>
      </w:r>
      <w:r w:rsidRPr="00A02BDC">
        <w:t>GH1 contains four independent molecules, with a calculated Matthews coefficient of 2.42 Å</w:t>
      </w:r>
      <w:r w:rsidRPr="00A02BDC">
        <w:rPr>
          <w:vertAlign w:val="superscript"/>
        </w:rPr>
        <w:t>3</w:t>
      </w:r>
      <w:r w:rsidRPr="00A02BDC">
        <w:t xml:space="preserve"> Da</w:t>
      </w:r>
      <w:r w:rsidRPr="00A02BDC">
        <w:rPr>
          <w:vertAlign w:val="superscript"/>
        </w:rPr>
        <w:t>1</w:t>
      </w:r>
      <w:r w:rsidRPr="00A02BDC">
        <w:t xml:space="preserve"> (estimated solvent content of 49.31%)</w:t>
      </w:r>
      <w:r w:rsidR="008448C4" w:rsidRPr="00A02BDC">
        <w:t xml:space="preserve"> (Fig. 2)</w:t>
      </w:r>
      <w:r w:rsidRPr="00A02BDC">
        <w:t xml:space="preserve">. The overall </w:t>
      </w:r>
      <w:r w:rsidRPr="00A02BDC">
        <w:lastRenderedPageBreak/>
        <w:t xml:space="preserve">structure of the four </w:t>
      </w:r>
      <w:r w:rsidRPr="00A02BDC">
        <w:rPr>
          <w:i/>
          <w:iCs/>
        </w:rPr>
        <w:t>Ahe</w:t>
      </w:r>
      <w:r w:rsidRPr="00A02BDC">
        <w:t xml:space="preserve">GH1 subunits is identical (RMSD values of 0.05 to 0.08 Å over 356 backbone Cα atoms). </w:t>
      </w:r>
    </w:p>
    <w:p w14:paraId="335DA58E" w14:textId="52D6B8E0" w:rsidR="0017089A" w:rsidRPr="00A02BDC" w:rsidRDefault="0017089A" w:rsidP="0017089A">
      <w:pPr>
        <w:jc w:val="both"/>
      </w:pPr>
      <w:r w:rsidRPr="00A02BDC">
        <w:t>The final model was refined to R values of R</w:t>
      </w:r>
      <w:r w:rsidRPr="00A02BDC">
        <w:rPr>
          <w:vertAlign w:val="subscript"/>
        </w:rPr>
        <w:t>work</w:t>
      </w:r>
      <w:r w:rsidRPr="00A02BDC">
        <w:t xml:space="preserve"> 24.7</w:t>
      </w:r>
      <w:r w:rsidR="009C2644" w:rsidRPr="00A02BDC">
        <w:t>%</w:t>
      </w:r>
      <w:r w:rsidRPr="00A02BDC">
        <w:t xml:space="preserve"> and R</w:t>
      </w:r>
      <w:r w:rsidRPr="00A02BDC">
        <w:rPr>
          <w:vertAlign w:val="subscript"/>
        </w:rPr>
        <w:t>free</w:t>
      </w:r>
      <w:r w:rsidRPr="00A02BDC">
        <w:t xml:space="preserve"> 29.8</w:t>
      </w:r>
      <w:r w:rsidR="009C2644" w:rsidRPr="00A02BDC">
        <w:t>%</w:t>
      </w:r>
      <w:r w:rsidRPr="00A02BDC">
        <w:t>. The presence of strong</w:t>
      </w:r>
      <w:r w:rsidR="004575CD" w:rsidRPr="00A02BDC">
        <w:t xml:space="preserve"> translational noncrystallographic symmetry</w:t>
      </w:r>
      <w:r w:rsidRPr="00A02BDC">
        <w:t xml:space="preserve"> </w:t>
      </w:r>
      <w:r w:rsidR="004575CD" w:rsidRPr="00A02BDC">
        <w:t>(</w:t>
      </w:r>
      <w:r w:rsidRPr="00A02BDC">
        <w:t>tNCS</w:t>
      </w:r>
      <w:r w:rsidR="004575CD" w:rsidRPr="00A02BDC">
        <w:t>)</w:t>
      </w:r>
      <w:r w:rsidRPr="00A02BDC">
        <w:t xml:space="preserve">, as confirmed by a peak in the Patterson map, may justify the </w:t>
      </w:r>
      <w:proofErr w:type="gramStart"/>
      <w:r w:rsidRPr="00A02BDC">
        <w:t>higher than expected</w:t>
      </w:r>
      <w:proofErr w:type="gramEnd"/>
      <w:r w:rsidRPr="00A02BDC">
        <w:t xml:space="preserve"> final R</w:t>
      </w:r>
      <w:r w:rsidRPr="00A02BDC">
        <w:rPr>
          <w:vertAlign w:val="subscript"/>
        </w:rPr>
        <w:t>work</w:t>
      </w:r>
      <w:r w:rsidRPr="00A02BDC">
        <w:t xml:space="preserve"> value, despite the high resolution of the structure (Table </w:t>
      </w:r>
      <w:r w:rsidR="003E193C" w:rsidRPr="00A02BDC">
        <w:t>S2</w:t>
      </w:r>
      <w:r w:rsidRPr="00A02BDC">
        <w:t>). Electron density map was overall of good quality, with electron density coverage across residues 2-450 (chain A), 2-451 (chain B), 3-447, (chain C) and 3-446 (chain D), except for a short stretch (P304-</w:t>
      </w:r>
      <w:r w:rsidR="00E61BC2" w:rsidRPr="00A02BDC">
        <w:t>D</w:t>
      </w:r>
      <w:r w:rsidRPr="00A02BDC">
        <w:t>322). Several ethylene glycol molecules derived from the crystallization buffer were modelled into the electron density. In addition, two Nickel cations were identified in the model, present during the affinity chromatography purification step. The metal cations are located at the dimer interfaces between chain A and the symmetry-related monomer C and between the B and D subunits and are coordinated in a tetrahedral arrangement by the side chains contributed from two histidine residues (H61) and two glutamate (</w:t>
      </w:r>
      <w:r w:rsidR="00E61BC2" w:rsidRPr="00A02BDC">
        <w:t>E29</w:t>
      </w:r>
      <w:r w:rsidRPr="00A02BDC">
        <w:t>) residues.</w:t>
      </w:r>
    </w:p>
    <w:p w14:paraId="09064E80" w14:textId="0199BC12" w:rsidR="0040047D" w:rsidRPr="00A02BDC" w:rsidRDefault="0040047D" w:rsidP="0040047D">
      <w:pPr>
        <w:jc w:val="both"/>
      </w:pPr>
      <w:r w:rsidRPr="00A02BDC">
        <w:t>Ahe</w:t>
      </w:r>
      <w:r w:rsidRPr="00A02BDC">
        <w:rPr>
          <w:i/>
          <w:iCs/>
        </w:rPr>
        <w:t>GH1</w:t>
      </w:r>
      <w:r w:rsidRPr="00A02BDC">
        <w:t xml:space="preserve"> is arranged into a single (β/α)</w:t>
      </w:r>
      <w:proofErr w:type="gramStart"/>
      <w:r w:rsidRPr="00A02BDC">
        <w:rPr>
          <w:vertAlign w:val="subscript"/>
        </w:rPr>
        <w:t>8</w:t>
      </w:r>
      <w:r w:rsidRPr="00A02BDC">
        <w:t xml:space="preserve"> barrel</w:t>
      </w:r>
      <w:proofErr w:type="gramEnd"/>
      <w:r w:rsidRPr="00A02BDC">
        <w:t xml:space="preserve"> fold, common to this family of glycosidases, with negligible main-chain displacements in peripheral loops and α-helices. Regions which show more significative changes in the secondary structure correspond to residues 272 to 281, folded into a gamma and two β-turns, and residues 409 to 416 that form two β-turns instead of the more common α-helices</w:t>
      </w:r>
      <w:r w:rsidR="008448C4" w:rsidRPr="00A02BDC">
        <w:t xml:space="preserve"> (Fig. 2)</w:t>
      </w:r>
      <w:r w:rsidRPr="00A02BDC">
        <w:t>.</w:t>
      </w:r>
    </w:p>
    <w:p w14:paraId="4A7672CC" w14:textId="6FC64F15" w:rsidR="008F5420" w:rsidRPr="00A02BDC" w:rsidRDefault="00DC285A" w:rsidP="0017089A">
      <w:pPr>
        <w:jc w:val="both"/>
      </w:pPr>
      <w:r w:rsidRPr="00A02BDC">
        <w:t xml:space="preserve">A feature of the GH1 family is that despite low sequence identity (as low as 17%) they share high structure conservation. </w:t>
      </w:r>
      <w:r w:rsidR="0017089A" w:rsidRPr="00A02BDC">
        <w:t>3D structure-based comparisons performed with the DALI server (http://ekhidna2.biocenter.helsinki.fi/dali/</w:t>
      </w:r>
      <w:r w:rsidR="007666C6" w:rsidRPr="00A02BDC">
        <w:t>)</w:t>
      </w:r>
      <w:r w:rsidR="00F23FE0" w:rsidRPr="00A02BDC">
        <w:rPr>
          <w:vertAlign w:val="superscript"/>
        </w:rPr>
        <w:fldChar w:fldCharType="begin" w:fldLock="1"/>
      </w:r>
      <w:r w:rsidR="00E40555" w:rsidRPr="00A02BDC">
        <w:rPr>
          <w:vertAlign w:val="superscript"/>
        </w:rPr>
        <w:instrText>ADDIN CSL_CITATION {"citationItems":[{"id":"ITEM-1","itemData":{"author":[{"dropping-particle":"","family":"Holm","given":"Liisa","non-dropping-particle":"","parse-names":false,"suffix":""}],"container-title":"Bioinformatics","id":"ITEM-1","issued":{"date-parts":[["2019"]]},"page":"1-2","title":"Structural Bioinformatics Benchmarking Fold Detection by DaliLite v . 5","type":"article-journal"},"uris":["http://www.mendeley.com/documents/?uuid=efcfb908-3852-497f-b5d7-91616252db87"]}],"mendeley":{"formattedCitation":"&lt;sup&gt;[24]&lt;/sup&gt;","plainTextFormattedCitation":"[24]","previouslyFormattedCitation":"&lt;sup&gt;[24]&lt;/sup&gt;"},"properties":{"noteIndex":0},"schema":"https://github.com/citation-style-language/schema/raw/master/csl-citation.json"}</w:instrText>
      </w:r>
      <w:r w:rsidR="00F23FE0" w:rsidRPr="00A02BDC">
        <w:rPr>
          <w:vertAlign w:val="superscript"/>
        </w:rPr>
        <w:fldChar w:fldCharType="separate"/>
      </w:r>
      <w:r w:rsidR="00D722A1" w:rsidRPr="00A02BDC">
        <w:rPr>
          <w:noProof/>
          <w:vertAlign w:val="superscript"/>
        </w:rPr>
        <w:t>[24]</w:t>
      </w:r>
      <w:r w:rsidR="00F23FE0" w:rsidRPr="00A02BDC">
        <w:rPr>
          <w:vertAlign w:val="superscript"/>
        </w:rPr>
        <w:fldChar w:fldCharType="end"/>
      </w:r>
      <w:r w:rsidR="00F23FE0" w:rsidRPr="00A02BDC">
        <w:t xml:space="preserve"> </w:t>
      </w:r>
      <w:r w:rsidR="0017089A" w:rsidRPr="00A02BDC">
        <w:t xml:space="preserve">revealed that the </w:t>
      </w:r>
      <w:r w:rsidR="0017089A" w:rsidRPr="00A02BDC">
        <w:rPr>
          <w:i/>
          <w:iCs/>
        </w:rPr>
        <w:t>Ahe</w:t>
      </w:r>
      <w:r w:rsidR="0017089A" w:rsidRPr="00A02BDC">
        <w:t xml:space="preserve">GH1 protein has </w:t>
      </w:r>
      <w:r w:rsidR="0040047D" w:rsidRPr="00A02BDC">
        <w:t xml:space="preserve">the </w:t>
      </w:r>
      <w:r w:rsidR="0017089A" w:rsidRPr="00A02BDC">
        <w:t>high</w:t>
      </w:r>
      <w:r w:rsidR="0040047D" w:rsidRPr="00A02BDC">
        <w:t>est</w:t>
      </w:r>
      <w:r w:rsidR="0017089A" w:rsidRPr="00A02BDC">
        <w:t xml:space="preserve"> structural similarity with </w:t>
      </w:r>
      <w:r w:rsidR="0040047D" w:rsidRPr="00A02BDC">
        <w:t>a</w:t>
      </w:r>
      <w:r w:rsidR="0017089A" w:rsidRPr="00A02BDC">
        <w:t xml:space="preserve"> family</w:t>
      </w:r>
      <w:r w:rsidR="0040047D" w:rsidRPr="00A02BDC">
        <w:t xml:space="preserve"> 1 glucoside hydrolase </w:t>
      </w:r>
      <w:r w:rsidR="0017089A" w:rsidRPr="00A02BDC">
        <w:t xml:space="preserve">from </w:t>
      </w:r>
      <w:r w:rsidR="0017089A" w:rsidRPr="00A02BDC">
        <w:rPr>
          <w:i/>
          <w:iCs/>
        </w:rPr>
        <w:t>Paenibacillus polymyxa</w:t>
      </w:r>
      <w:r w:rsidR="0040047D" w:rsidRPr="00A02BDC">
        <w:rPr>
          <w:i/>
          <w:iCs/>
        </w:rPr>
        <w:t xml:space="preserve"> </w:t>
      </w:r>
      <w:r w:rsidR="0040047D" w:rsidRPr="00A02BDC">
        <w:t>(</w:t>
      </w:r>
      <w:r w:rsidR="0040047D" w:rsidRPr="00A02BDC">
        <w:rPr>
          <w:i/>
          <w:iCs/>
        </w:rPr>
        <w:t>BglB</w:t>
      </w:r>
      <w:r w:rsidR="0040047D" w:rsidRPr="00A02BDC">
        <w:t>; PDB</w:t>
      </w:r>
      <w:r w:rsidR="00602064" w:rsidRPr="00A02BDC">
        <w:t xml:space="preserve">: </w:t>
      </w:r>
      <w:r w:rsidR="0040047D" w:rsidRPr="00A02BDC">
        <w:t>2O9P)</w:t>
      </w:r>
      <w:r w:rsidR="00F23FE0" w:rsidRPr="00A02BDC">
        <w:rPr>
          <w:i/>
          <w:iCs/>
        </w:rPr>
        <w:t>.</w:t>
      </w:r>
      <w:r w:rsidR="003F3256" w:rsidRPr="00A02BDC">
        <w:rPr>
          <w:rStyle w:val="FootnoteReference"/>
        </w:rPr>
        <w:fldChar w:fldCharType="begin" w:fldLock="1"/>
      </w:r>
      <w:r w:rsidR="00E40555" w:rsidRPr="00A02BDC">
        <w:rPr>
          <w:vertAlign w:val="superscript"/>
        </w:rPr>
        <w:instrText>ADDIN CSL_CITATION {"citationItems":[{"id":"ITEM-1","itemData":{"DOI":"10.1016/j.jmb.2007.05.082","ISSN":"00222836","abstract":"Bacteria species involved in degradation of cellulosic substrates produce a variety of enzymes for processing related compounds along the hydrolytic pathway. Paenibacillus polymyxa encodes two homologous β-glucosidases, BglA and BglB, presenting different quaternary structures and substrate specificities. We previously reported the 3D-structure of BglA, which is highly specific against cellobiose. Here, we present structural analysis of BglB, a monomeric enzyme that acts as an exo-β-glucosidase hydrolyzing cellobiose and cellodextrins of higher degree of polymerization. The crystal structure of BglB shows that several polar residues narrow the active site pocket and contour additional subsites. The structure of the BglB-cellotetraose complex confirms these subsites, revealing the substrate-binding mode, and shows the oligosaccharide-enzyme recognition pattern in detail. Comparison between BglA and BglB crystal structures suggests that oligomerization in BglA can assist in fine-tuning the specificity of the active centre by modulating the loops surrounding the cavity. We have solved the crystal structure of BglB with bound thiocellobiose, a competitive inhibitor, which together with the BglB-cellotetraose complex delineate the general features of the aglycon site. The detailed characterization of the atomic interactions at the aglycon site show a recognition pattern common to all bacterial β-glucosidases, and presents some differences with the aglycon site in plant β-glycosidases essentially by means of a different orientation of the basal Trp. The crystal structures of of BglB with a covalently bound inhibitor (derived from 2-fluoroglucoside) and glucose (produced by hydrolysis of the substrate in the crystal), provide additional pictures of the binding events and the intermediates formed during the reaction. Altogether, this information can assist in the understanding of subtle differences of the enzyme mechanism and substrate recognition within this family of enzymes, and consequently it can help in the development of new enzymes with improved activity or specificity. © 2007 Elsevier Ltd. All rights reserved.","author":[{"dropping-particle":"","family":"Isorna","given":"Pablo","non-dropping-particle":"","parse-names":false,"suffix":""},{"dropping-particle":"","family":"Polaina","given":"Julio","non-dropping-particle":"","parse-names":false,"suffix":""},{"dropping-particle":"","family":"Latorre-García","given":"Lorena","non-dropping-particle":"","parse-names":false,"suffix":""},{"dropping-particle":"","family":"Cañada","given":"Francisco Javier","non-dropping-particle":"","parse-names":false,"suffix":""},{"dropping-particle":"","family":"González","given":"Beatriz","non-dropping-particle":"","parse-names":false,"suffix":""},{"dropping-particle":"","family":"Sanz-Aparicio","given":"Julia","non-dropping-particle":"","parse-names":false,"suffix":""}],"container-title":"Journal of Molecular Biology","id":"ITEM-1","issue":"5","issued":{"date-parts":[["2007"]]},"page":"1204-1218","title":"Crystal Structures of Paenibacillus polymyxa β-Glucosidase B Complexes Reveal the Molecular Basis of Substrate Specificity and Give New Insights into the Catalytic Machinery of Family I Glycosidases","type":"article-journal","volume":"371"},"uris":["http://www.mendeley.com/documents/?uuid=f1d2819c-ea10-4dcc-af86-025a52ad1e8d"]}],"mendeley":{"formattedCitation":"&lt;sup&gt;[25]&lt;/sup&gt;","plainTextFormattedCitation":"[25]","previouslyFormattedCitation":"&lt;sup&gt;[25]&lt;/sup&gt;"},"properties":{"noteIndex":0},"schema":"https://github.com/citation-style-language/schema/raw/master/csl-citation.json"}</w:instrText>
      </w:r>
      <w:r w:rsidR="003F3256" w:rsidRPr="00A02BDC">
        <w:rPr>
          <w:rStyle w:val="FootnoteReference"/>
        </w:rPr>
        <w:fldChar w:fldCharType="separate"/>
      </w:r>
      <w:r w:rsidR="00D722A1" w:rsidRPr="00A02BDC">
        <w:rPr>
          <w:noProof/>
          <w:vertAlign w:val="superscript"/>
        </w:rPr>
        <w:t>[25]</w:t>
      </w:r>
      <w:r w:rsidR="003F3256" w:rsidRPr="00A02BDC">
        <w:rPr>
          <w:rStyle w:val="FootnoteReference"/>
        </w:rPr>
        <w:fldChar w:fldCharType="end"/>
      </w:r>
      <w:r w:rsidR="0017089A" w:rsidRPr="00A02BDC">
        <w:t xml:space="preserve"> Despite average sequence identity (52%), superposition between the two proteins revealed a high degree of structural similarity (RMSD of 0.6 Å)</w:t>
      </w:r>
      <w:r w:rsidR="0040047D" w:rsidRPr="00A02BDC">
        <w:t xml:space="preserve"> over 441 aligned residues</w:t>
      </w:r>
      <w:r w:rsidR="0017089A" w:rsidRPr="00A02BDC">
        <w:t xml:space="preserve">. </w:t>
      </w:r>
    </w:p>
    <w:p w14:paraId="5DB330BA" w14:textId="57FC9969" w:rsidR="0017089A" w:rsidRPr="00A02BDC" w:rsidRDefault="00556EDD" w:rsidP="008D2541">
      <w:pPr>
        <w:keepNext/>
        <w:spacing w:line="240" w:lineRule="auto"/>
        <w:jc w:val="center"/>
      </w:pPr>
      <w:r w:rsidRPr="00A02BDC">
        <w:rPr>
          <w:noProof/>
        </w:rPr>
        <w:lastRenderedPageBreak/>
        <w:drawing>
          <wp:inline distT="0" distB="0" distL="0" distR="0" wp14:anchorId="10962E6F" wp14:editId="135CD22A">
            <wp:extent cx="6120130" cy="2461895"/>
            <wp:effectExtent l="0" t="0" r="127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20130" cy="2461895"/>
                    </a:xfrm>
                    <a:prstGeom prst="rect">
                      <a:avLst/>
                    </a:prstGeom>
                  </pic:spPr>
                </pic:pic>
              </a:graphicData>
            </a:graphic>
          </wp:inline>
        </w:drawing>
      </w:r>
    </w:p>
    <w:p w14:paraId="3E6125BD" w14:textId="35834C64" w:rsidR="0017089A" w:rsidRPr="00A02BDC" w:rsidRDefault="0017089A" w:rsidP="0017089A">
      <w:pPr>
        <w:pStyle w:val="Caption"/>
        <w:jc w:val="center"/>
        <w:rPr>
          <w:color w:val="000000" w:themeColor="text1"/>
        </w:rPr>
      </w:pPr>
      <w:r w:rsidRPr="00A02BDC">
        <w:rPr>
          <w:color w:val="000000" w:themeColor="text1"/>
        </w:rPr>
        <w:t xml:space="preserve">Figure </w:t>
      </w:r>
      <w:r w:rsidRPr="00A02BDC">
        <w:rPr>
          <w:color w:val="000000" w:themeColor="text1"/>
        </w:rPr>
        <w:fldChar w:fldCharType="begin"/>
      </w:r>
      <w:r w:rsidRPr="00A02BDC">
        <w:rPr>
          <w:color w:val="000000" w:themeColor="text1"/>
        </w:rPr>
        <w:instrText xml:space="preserve"> SEQ Figure \* ARABIC </w:instrText>
      </w:r>
      <w:r w:rsidRPr="00A02BDC">
        <w:rPr>
          <w:color w:val="000000" w:themeColor="text1"/>
        </w:rPr>
        <w:fldChar w:fldCharType="separate"/>
      </w:r>
      <w:r w:rsidRPr="00A02BDC">
        <w:rPr>
          <w:noProof/>
          <w:color w:val="000000" w:themeColor="text1"/>
        </w:rPr>
        <w:t>2</w:t>
      </w:r>
      <w:r w:rsidRPr="00A02BDC">
        <w:rPr>
          <w:color w:val="000000" w:themeColor="text1"/>
        </w:rPr>
        <w:fldChar w:fldCharType="end"/>
      </w:r>
      <w:r w:rsidRPr="00A02BDC">
        <w:rPr>
          <w:color w:val="000000" w:themeColor="text1"/>
        </w:rPr>
        <w:t xml:space="preserve">. 3D structure of </w:t>
      </w:r>
      <w:r w:rsidR="00ED2821" w:rsidRPr="00A02BDC">
        <w:rPr>
          <w:i/>
          <w:iCs/>
          <w:color w:val="000000" w:themeColor="text1"/>
        </w:rPr>
        <w:t>Ahe</w:t>
      </w:r>
      <w:r w:rsidR="00ED2821" w:rsidRPr="00A02BDC">
        <w:rPr>
          <w:color w:val="000000" w:themeColor="text1"/>
        </w:rPr>
        <w:t>GH1</w:t>
      </w:r>
      <w:r w:rsidRPr="00A02BDC">
        <w:rPr>
          <w:color w:val="000000" w:themeColor="text1"/>
        </w:rPr>
        <w:t xml:space="preserve">. A) The </w:t>
      </w:r>
      <w:r w:rsidR="00ED2821" w:rsidRPr="00A02BDC">
        <w:rPr>
          <w:i/>
          <w:iCs/>
          <w:color w:val="000000" w:themeColor="text1"/>
        </w:rPr>
        <w:t>Ahe</w:t>
      </w:r>
      <w:r w:rsidR="00ED2821" w:rsidRPr="00A02BDC">
        <w:rPr>
          <w:color w:val="000000" w:themeColor="text1"/>
        </w:rPr>
        <w:t>GH1</w:t>
      </w:r>
      <w:r w:rsidRPr="00A02BDC">
        <w:rPr>
          <w:color w:val="000000" w:themeColor="text1"/>
        </w:rPr>
        <w:t xml:space="preserve"> tetramer present in the asymmetric unit; B) Top and side views of the </w:t>
      </w:r>
      <w:r w:rsidR="00ED2821" w:rsidRPr="00A02BDC">
        <w:rPr>
          <w:i/>
          <w:iCs/>
          <w:color w:val="000000" w:themeColor="text1"/>
        </w:rPr>
        <w:t>Ahe</w:t>
      </w:r>
      <w:r w:rsidR="00ED2821" w:rsidRPr="00A02BDC">
        <w:rPr>
          <w:color w:val="000000" w:themeColor="text1"/>
        </w:rPr>
        <w:t xml:space="preserve">GH1 </w:t>
      </w:r>
      <w:r w:rsidRPr="00A02BDC">
        <w:rPr>
          <w:color w:val="000000" w:themeColor="text1"/>
        </w:rPr>
        <w:t>monomer, with ribbons coloured according to secondary structure (β-strands in orange, α-helices in green, 3-, 4- and 5- turns in yellow, unstructured regions in grey). N- and C-terminal regions are labelled.</w:t>
      </w:r>
      <w:r w:rsidR="00ED2821" w:rsidRPr="00A02BDC">
        <w:rPr>
          <w:color w:val="000000" w:themeColor="text1"/>
        </w:rPr>
        <w:t xml:space="preserve"> </w:t>
      </w:r>
    </w:p>
    <w:p w14:paraId="2FF19928" w14:textId="77777777" w:rsidR="0017089A" w:rsidRPr="00A02BDC" w:rsidRDefault="0017089A" w:rsidP="0017089A">
      <w:pPr>
        <w:pStyle w:val="Heading2"/>
      </w:pPr>
      <w:r w:rsidRPr="00A02BDC">
        <w:t xml:space="preserve">The </w:t>
      </w:r>
      <w:r w:rsidRPr="00A02BDC">
        <w:rPr>
          <w:iCs/>
        </w:rPr>
        <w:t>Ahe</w:t>
      </w:r>
      <w:r w:rsidRPr="00A02BDC">
        <w:t>GH1 active site</w:t>
      </w:r>
    </w:p>
    <w:p w14:paraId="6BF7EC7E" w14:textId="0916722C" w:rsidR="00DC285A" w:rsidRPr="00A02BDC" w:rsidRDefault="00DC285A" w:rsidP="00DC285A">
      <w:pPr>
        <w:ind w:firstLine="708"/>
        <w:jc w:val="both"/>
      </w:pPr>
      <w:r w:rsidRPr="00A02BDC">
        <w:t>An enzyme template search of catalytic site templates made with the ProFunc server (http://www.ebi.ac.uk/thornton-srv/databases/ProFunc</w:t>
      </w:r>
      <w:r w:rsidR="00371FCA" w:rsidRPr="00A02BDC">
        <w:t>)</w:t>
      </w:r>
      <w:r w:rsidRPr="00A02BDC">
        <w:t>,</w:t>
      </w:r>
      <w:r w:rsidR="00E40555" w:rsidRPr="00A02BDC">
        <w:rPr>
          <w:vertAlign w:val="superscript"/>
        </w:rPr>
        <w:fldChar w:fldCharType="begin" w:fldLock="1"/>
      </w:r>
      <w:r w:rsidR="00E40555" w:rsidRPr="00A02BDC">
        <w:rPr>
          <w:vertAlign w:val="superscript"/>
        </w:rPr>
        <w:instrText>ADDIN CSL_CITATION {"citationItems":[{"id":"ITEM-1","itemData":{"DOI":"10.1093/nar/gki414","ISSN":"1362-4962","PMID":"15980588","abstract":"ProFunc (http://www.ebi.ac.uk/thornton-srv/databases/ProFunc) is a web server for predicting the likely function of proteins whose 3D structure is known but whose function is not. Users submit the coordinates of their structure to the server in PDB format. ProFunc makes use of both existing and novel methods to analyse the protein's sequence and structure identifying functional motifs or close relationships to functionally characterized proteins. A summary of the analyses provides an at-a-glance view of what each of the different methods has found. More detailed results are available on separate pages. Often where one method has failed to find anything useful another may be more forthcoming. The server is likely to be of most use in structural genomics where a large proportion of the proteins whose structures are solved are of hypothetical proteins of unknown function. However, it may also find use in a comparative analysis of members of large protein families. It provides a convenient compendium of sequence and structural information that often hold vital functional clues to be followed up experimentally.","author":[{"dropping-particle":"","family":"Laskowski","given":"Roman A","non-dropping-particle":"","parse-names":false,"suffix":""},{"dropping-particle":"","family":"Watson","given":"James D","non-dropping-particle":"","parse-names":false,"suffix":""},{"dropping-particle":"","family":"Thornton","given":"Janet M","non-dropping-particle":"","parse-names":false,"suffix":""}],"container-title":"Nucleic acids research","id":"ITEM-1","issue":"Web Server issue","issued":{"date-parts":[["2005","7"]]},"page":"W89-93","publisher":"Oxford University Press","title":"ProFunc: a server for predicting protein function from 3D structure.","type":"article-journal","volume":"33"},"uris":["http://www.mendeley.com/documents/?uuid=112f3f8e-3a8f-4d31-914b-c2734e195950"]}],"mendeley":{"formattedCitation":"&lt;sup&gt;[26]&lt;/sup&gt;","plainTextFormattedCitation":"[26]","previouslyFormattedCitation":"&lt;sup&gt;[26]&lt;/sup&gt;"},"properties":{"noteIndex":0},"schema":"https://github.com/citation-style-language/schema/raw/master/csl-citation.json"}</w:instrText>
      </w:r>
      <w:r w:rsidR="00E40555" w:rsidRPr="00A02BDC">
        <w:rPr>
          <w:vertAlign w:val="superscript"/>
        </w:rPr>
        <w:fldChar w:fldCharType="separate"/>
      </w:r>
      <w:r w:rsidR="00E40555" w:rsidRPr="00A02BDC">
        <w:rPr>
          <w:noProof/>
          <w:vertAlign w:val="superscript"/>
        </w:rPr>
        <w:t>[26]</w:t>
      </w:r>
      <w:r w:rsidR="00E40555" w:rsidRPr="00A02BDC">
        <w:rPr>
          <w:vertAlign w:val="superscript"/>
        </w:rPr>
        <w:fldChar w:fldCharType="end"/>
      </w:r>
      <w:r w:rsidRPr="00A02BDC">
        <w:t xml:space="preserve"> identified the cyanogenic family 1 glycosyl hydrolase (CBG) from white clover (PDB</w:t>
      </w:r>
      <w:r w:rsidR="00602064" w:rsidRPr="00A02BDC">
        <w:t>:</w:t>
      </w:r>
      <w:r w:rsidRPr="00A02BDC">
        <w:t>1CBG)</w:t>
      </w:r>
      <w:r w:rsidR="00E40555" w:rsidRPr="00A02BDC">
        <w:fldChar w:fldCharType="begin" w:fldLock="1"/>
      </w:r>
      <w:r w:rsidR="00E40555" w:rsidRPr="00A02BDC">
        <w:instrText>ADDIN CSL_CITATION {"citationItems":[{"id":"ITEM-1","itemData":{"DOI":"10.1016/S0969-2126(01)00229-5","ISSN":"09692126","abstract":"Background: β-glucosidases occur in a variety of organisms and catalyze the hydrolysis of aryl and alkyl-β-D-glucosides as well as glucosides with only a carbohydrate moiety (such as cellobiose). The cyanogenic β-glucosidase from white clover (subsequently referred to as CBG) is responsible for the cleavage of cyanoglucosides. Both CBG and the cyanoglucosides occur within the plant cell wall where they are found in separate compartments and only come into contact when the leaf tissue experiences mechanical damage. This results in the eventual production of hydrogen cyanide which acts as a deterrent to grazing animals. β-glucosidases have been assigned to particular glycosyl hydrolase families on the basis of sequence similarity; this classification has placed CBG in family 1 (there are a total of over 40 families) for which a three-dimensional structure has so far not been determined. This is the first report of the three-dimensional structure of a glycosyl hydrolase from family 1. See Corrections. Results The crystal structure of CBG has been determined using multiple isomorphous replacement. The final model has been refined at 2.15 å resolution to an R factor of 18.9%. The overall fold of the molecule is a (β/α)8[or (α/β)8] barrel (in common with a number of glycosyl hydrolases) with all residues located in a single domain. Conclusion Sequence comparisons between β-glucosidases of the same family show that residues Glu183 and Glu397 are highly conserved. Both residues are positioned at the end of a pocket located at the C terminus of the barrel and have been assigned the respective roles of proton donor and nucleophile on the basis of inhibitor-binding and mutagenesis experiments. These roles are consistent with the environments of the two residues. The pocket itself is typical of a sugar-binding site as it contains a number of charged, aromatic and polar groups. In support of this role, we present crystallographic data on a possible product complex between CBG and glucose, resulting from co-crystallization of the native enzyme with its natural substrate, linamarin. © 1995 Elsevier Science Ltd. All rights reserved.","author":[{"dropping-particle":"","family":"Barrett","given":"T.","non-dropping-particle":"","parse-names":false,"suffix":""},{"dropping-particle":"","family":"Suresh","given":"CG G.","non-dropping-particle":"","parse-names":false,"suffix":""},{"dropping-particle":"","family":"Tolley","given":"SP P.","non-dropping-particle":"","parse-names":false,"suffix":""},{"dropping-particle":"","family":"Dodson","given":"EJ J.","non-dropping-particle":"","parse-names":false,"suffix":""},{"dropping-particle":"","family":"Hughes","given":"MA A.","non-dropping-particle":"","parse-names":false,"suffix":""}],"container-title":"Structure","id":"ITEM-1","issue":"9","issued":{"date-parts":[["1995"]]},"page":"951-960","title":"The crystal structure of a cyanogenic β-glucosidase from white clover, a family 1 glycosyl hydrolase","type":"article-journal","volume":"3"},"uris":["http://www.mendeley.com/documents/?uuid=a101186d-5509-4900-b762-46c0a442954e"]}],"mendeley":{"formattedCitation":"&lt;sup&gt;[27]&lt;/sup&gt;","plainTextFormattedCitation":"[27]","previouslyFormattedCitation":"&lt;sup&gt;[27]&lt;/sup&gt;"},"properties":{"noteIndex":0},"schema":"https://github.com/citation-style-language/schema/raw/master/csl-citation.json"}</w:instrText>
      </w:r>
      <w:r w:rsidR="00E40555" w:rsidRPr="00A02BDC">
        <w:fldChar w:fldCharType="separate"/>
      </w:r>
      <w:r w:rsidR="00E40555" w:rsidRPr="00A02BDC">
        <w:rPr>
          <w:noProof/>
          <w:vertAlign w:val="superscript"/>
        </w:rPr>
        <w:t>[27]</w:t>
      </w:r>
      <w:r w:rsidR="00E40555" w:rsidRPr="00A02BDC">
        <w:fldChar w:fldCharType="end"/>
      </w:r>
      <w:r w:rsidRPr="00A02BDC">
        <w:rPr>
          <w:vertAlign w:val="superscript"/>
        </w:rPr>
        <w:t xml:space="preserve"> </w:t>
      </w:r>
      <w:r w:rsidR="00356B97" w:rsidRPr="00A02BDC">
        <w:t>as the top hit</w:t>
      </w:r>
      <w:r w:rsidRPr="00A02BDC">
        <w:t xml:space="preserve">. </w:t>
      </w:r>
      <w:r w:rsidRPr="00A02BDC">
        <w:rPr>
          <w:i/>
          <w:iCs/>
        </w:rPr>
        <w:t>Ahe</w:t>
      </w:r>
      <w:r w:rsidRPr="00A02BDC">
        <w:t xml:space="preserve">GH1 </w:t>
      </w:r>
      <w:r w:rsidR="00356B97" w:rsidRPr="00A02BDC">
        <w:t xml:space="preserve">and CBG </w:t>
      </w:r>
      <w:r w:rsidRPr="00A02BDC">
        <w:t xml:space="preserve">share low (36.94%) </w:t>
      </w:r>
      <w:r w:rsidR="00356B97" w:rsidRPr="00A02BDC">
        <w:t xml:space="preserve">overall </w:t>
      </w:r>
      <w:r w:rsidRPr="00A02BDC">
        <w:t>sequence identity</w:t>
      </w:r>
      <w:r w:rsidR="00E40555" w:rsidRPr="00A02BDC">
        <w:t>,</w:t>
      </w:r>
      <w:r w:rsidRPr="00A02BDC">
        <w:t xml:space="preserve"> </w:t>
      </w:r>
      <w:r w:rsidR="00356B97" w:rsidRPr="00A02BDC">
        <w:t>yet</w:t>
      </w:r>
      <w:r w:rsidRPr="00A02BDC">
        <w:t xml:space="preserve"> high (73.47%) local sequence identity in their active site</w:t>
      </w:r>
      <w:r w:rsidR="00356B97" w:rsidRPr="00A02BDC">
        <w:t>s</w:t>
      </w:r>
      <w:r w:rsidRPr="00A02BDC">
        <w:t xml:space="preserve"> over 49 equivalenced residues. At a structural level, they share high structural similarity (99.5% over 493 matched residues) and as for </w:t>
      </w:r>
      <w:r w:rsidRPr="00A02BDC">
        <w:rPr>
          <w:i/>
          <w:iCs/>
        </w:rPr>
        <w:t>Ahe</w:t>
      </w:r>
      <w:r w:rsidRPr="00A02BDC">
        <w:t>GH1, CBG is a homodimer in solution.</w:t>
      </w:r>
      <w:r w:rsidR="00E40555" w:rsidRPr="00A02BDC">
        <w:fldChar w:fldCharType="begin" w:fldLock="1"/>
      </w:r>
      <w:r w:rsidR="00E40555" w:rsidRPr="00A02BDC">
        <w:instrText>ADDIN CSL_CITATION {"citationItems":[{"id":"ITEM-1","itemData":{"DOI":"10.1016/S0969-2126(01)00229-5","ISSN":"09692126","abstract":"Background: β-glucosidases occur in a variety of organisms and catalyze the hydrolysis of aryl and alkyl-β-D-glucosides as well as glucosides with only a carbohydrate moiety (such as cellobiose). The cyanogenic β-glucosidase from white clover (subsequently referred to as CBG) is responsible for the cleavage of cyanoglucosides. Both CBG and the cyanoglucosides occur within the plant cell wall where they are found in separate compartments and only come into contact when the leaf tissue experiences mechanical damage. This results in the eventual production of hydrogen cyanide which acts as a deterrent to grazing animals. β-glucosidases have been assigned to particular glycosyl hydrolase families on the basis of sequence similarity; this classification has placed CBG in family 1 (there are a total of over 40 families) for which a three-dimensional structure has so far not been determined. This is the first report of the three-dimensional structure of a glycosyl hydrolase from family 1. See Corrections. Results The crystal structure of CBG has been determined using multiple isomorphous replacement. The final model has been refined at 2.15 å resolution to an R factor of 18.9%. The overall fold of the molecule is a (β/α)8[or (α/β)8] barrel (in common with a number of glycosyl hydrolases) with all residues located in a single domain. Conclusion Sequence comparisons between β-glucosidases of the same family show that residues Glu183 and Glu397 are highly conserved. Both residues are positioned at the end of a pocket located at the C terminus of the barrel and have been assigned the respective roles of proton donor and nucleophile on the basis of inhibitor-binding and mutagenesis experiments. These roles are consistent with the environments of the two residues. The pocket itself is typical of a sugar-binding site as it contains a number of charged, aromatic and polar groups. In support of this role, we present crystallographic data on a possible product complex between CBG and glucose, resulting from co-crystallization of the native enzyme with its natural substrate, linamarin. © 1995 Elsevier Science Ltd. All rights reserved.","author":[{"dropping-particle":"","family":"Barrett","given":"T.","non-dropping-particle":"","parse-names":false,"suffix":""},{"dropping-particle":"","family":"Suresh","given":"CG G.","non-dropping-particle":"","parse-names":false,"suffix":""},{"dropping-particle":"","family":"Tolley","given":"SP P.","non-dropping-particle":"","parse-names":false,"suffix":""},{"dropping-particle":"","family":"Dodson","given":"EJ J.","non-dropping-particle":"","parse-names":false,"suffix":""},{"dropping-particle":"","family":"Hughes","given":"MA A.","non-dropping-particle":"","parse-names":false,"suffix":""}],"container-title":"Structure","id":"ITEM-1","issue":"9","issued":{"date-parts":[["1995"]]},"page":"951-960","title":"The crystal structure of a cyanogenic β-glucosidase from white clover, a family 1 glycosyl hydrolase","type":"article-journal","volume":"3"},"uris":["http://www.mendeley.com/documents/?uuid=a101186d-5509-4900-b762-46c0a442954e"]}],"mendeley":{"formattedCitation":"&lt;sup&gt;[27]&lt;/sup&gt;","plainTextFormattedCitation":"[27]","previouslyFormattedCitation":"&lt;sup&gt;[27]&lt;/sup&gt;"},"properties":{"noteIndex":0},"schema":"https://github.com/citation-style-language/schema/raw/master/csl-citation.json"}</w:instrText>
      </w:r>
      <w:r w:rsidR="00E40555" w:rsidRPr="00A02BDC">
        <w:fldChar w:fldCharType="separate"/>
      </w:r>
      <w:r w:rsidR="00E40555" w:rsidRPr="00A02BDC">
        <w:rPr>
          <w:noProof/>
          <w:vertAlign w:val="superscript"/>
        </w:rPr>
        <w:t>[27]</w:t>
      </w:r>
      <w:r w:rsidR="00E40555" w:rsidRPr="00A02BDC">
        <w:fldChar w:fldCharType="end"/>
      </w:r>
      <w:r w:rsidRPr="00A02BDC">
        <w:t xml:space="preserve">  In agreement with </w:t>
      </w:r>
      <w:r w:rsidR="00F636BC" w:rsidRPr="00A02BDC">
        <w:t xml:space="preserve">CBG and </w:t>
      </w:r>
      <w:r w:rsidRPr="00A02BDC">
        <w:t xml:space="preserve">other </w:t>
      </w:r>
      <w:r w:rsidR="00BB67B7" w:rsidRPr="00A02BDC">
        <w:t xml:space="preserve">GH1 </w:t>
      </w:r>
      <w:r w:rsidRPr="00A02BDC">
        <w:t>members</w:t>
      </w:r>
      <w:r w:rsidR="00F636BC" w:rsidRPr="00A02BDC">
        <w:t xml:space="preserve"> in general</w:t>
      </w:r>
      <w:r w:rsidRPr="00A02BDC">
        <w:t>, the active site pocket contains several conserved polar and aromatic residues that are typically present in carbohydrate recognition sites</w:t>
      </w:r>
      <w:r w:rsidR="006242B3" w:rsidRPr="00A02BDC">
        <w:t xml:space="preserve"> that binds the nonreducing end of the substrate</w:t>
      </w:r>
      <w:r w:rsidRPr="00A02BDC">
        <w:t>.</w:t>
      </w:r>
      <w:r w:rsidR="00E40555" w:rsidRPr="00A02BDC">
        <w:fldChar w:fldCharType="begin" w:fldLock="1"/>
      </w:r>
      <w:r w:rsidR="00E40555" w:rsidRPr="00A02BDC">
        <w:instrText>ADDIN CSL_CITATION {"citationItems":[{"id":"ITEM-1","itemData":{"DOI":"10.1186/s13068-016-0587-x","ISBN":"1306801605","ISSN":"1754-6834","abstract":"© 2016 The Author(s).Background: In general, biofuel production involves biomass pretreatment and enzymatic saccharification, followed by the subsequent sugar conversion to biofuel via fermentation. The crucial step in the production of biofuel from biomass is the enzymatic saccharification. Many of the commercial cellulase enzyme cocktails, such as Spezyme® CP (Genencor), Acellerase™ 1000 (Genencor), and Celluclast® 1.5L (Novozymes), are ineffectively to release free glucose from the pretreated biomass without additional β-glucosidase. Results: In this study, for the first time, a β-glucosidase DT-Bgl gene (1359 bp) was identified in the genome of Anoxybacillus sp. DT3-1, and cloned and heterologously expressed in Escherichia coli BL21. Phylogenetic analysis indicated that DT-Bgl belonged to glycosyl hydrolase (GH) family 1. The recombinant DT-Bgl was highly active on cello-oligosaccharides and p-nitrophenyl-β-d-glucopyranoside (pNPG). The DT-Bgl was purified using an Ni-NTA column, with molecular mass of 53 kDa using an SDS-PAGE analysis. It exhibited optimum activity at 70 °C and pH 8.5, and did not require any tested co-factors for activation. The K m and V max values for DT-Bgl were 0.22 mM and 923.7 U/mg, respectively, with pNPG as substrate. The DT-Bgl displayed high glucose tolerance, and retained 93 % activity in the presence of 10 M glucose. Conclusions: Anoxybacillus DT-Bgl is a novel thermostable β-glucosidase with low glucose inhibition, and converts long-chain cellodextrins to cellobiose, and further hydrolyse cellobiose to glucose. Results suggest that DT-Bgl could be useful in the development of a bioprocess for the efficient saccharification of lignocellulosic biomass.","author":[{"dropping-particle":"","family":"Chan","given":"Chia Sing","non-dropping-particle":"","parse-names":false,"suffix":""},{"dropping-particle":"","family":"Sin","given":"Lee Li","non-dropping-particle":"","parse-names":false,"suffix":""},{"dropping-particle":"","family":"Chan","given":"Kok-Gan","non-dropping-particle":"","parse-names":false,"suffix":""},{"dropping-particle":"","family":"Shamsir","given":"Mohd Shahir","non-dropping-particle":"","parse-names":false,"suffix":""},{"dropping-particle":"","family":"Manan","given":"Fazilah Abd","non-dropping-particle":"","parse-names":false,"suffix":""},{"dropping-particle":"","family":"Sani","given":"Rajesh Kumar","non-dropping-particle":"","parse-names":false,"suffix":""},{"dropping-particle":"","family":"Goh","given":"Kian Mau","non-dropping-particle":"","parse-names":false,"suffix":""}],"container-title":"Biotechnology for Biofuels","id":"ITEM-1","issue":"1","issued":{"date-parts":[["2016"]]},"page":"174","publisher":"BioMed Central","title":"Characterization of a glucose-tolerant β-glucosidase from Anoxybacillus sp. DT3-1","type":"article-journal","volume":"9"},"uris":["http://www.mendeley.com/documents/?uuid=8a3c4a5e-c29a-467d-b68d-cfb494c0ef9a"]}],"mendeley":{"formattedCitation":"&lt;sup&gt;[21]&lt;/sup&gt;","plainTextFormattedCitation":"[21]","previouslyFormattedCitation":"&lt;sup&gt;[21]&lt;/sup&gt;"},"properties":{"noteIndex":0},"schema":"https://github.com/citation-style-language/schema/raw/master/csl-citation.json"}</w:instrText>
      </w:r>
      <w:r w:rsidR="00E40555" w:rsidRPr="00A02BDC">
        <w:fldChar w:fldCharType="separate"/>
      </w:r>
      <w:r w:rsidR="00E40555" w:rsidRPr="00A02BDC">
        <w:rPr>
          <w:noProof/>
          <w:vertAlign w:val="superscript"/>
        </w:rPr>
        <w:t>[21]</w:t>
      </w:r>
      <w:r w:rsidR="00E40555" w:rsidRPr="00A02BDC">
        <w:fldChar w:fldCharType="end"/>
      </w:r>
      <w:r w:rsidRPr="00A02BDC">
        <w:t xml:space="preserve"> </w:t>
      </w:r>
      <w:r w:rsidR="006242B3" w:rsidRPr="00A02BDC">
        <w:t xml:space="preserve">Based on comparisons with </w:t>
      </w:r>
      <w:r w:rsidR="00710A13" w:rsidRPr="00A02BDC">
        <w:t>GH1 members,</w:t>
      </w:r>
      <w:r w:rsidRPr="00A02BDC">
        <w:t xml:space="preserve"> </w:t>
      </w:r>
      <w:r w:rsidRPr="00A02BDC">
        <w:rPr>
          <w:i/>
          <w:iCs/>
        </w:rPr>
        <w:t>Ahe</w:t>
      </w:r>
      <w:r w:rsidRPr="00A02BDC">
        <w:t xml:space="preserve">GH1 </w:t>
      </w:r>
      <w:r w:rsidR="006242B3" w:rsidRPr="00A02BDC">
        <w:t xml:space="preserve">the main </w:t>
      </w:r>
      <w:r w:rsidRPr="00A02BDC">
        <w:t>active site</w:t>
      </w:r>
      <w:r w:rsidR="006242B3" w:rsidRPr="00A02BDC">
        <w:t xml:space="preserve"> residues</w:t>
      </w:r>
      <w:r w:rsidRPr="00A02BDC">
        <w:t xml:space="preserve"> </w:t>
      </w:r>
      <w:r w:rsidR="006242B3" w:rsidRPr="00A02BDC">
        <w:t>present are:</w:t>
      </w:r>
      <w:r w:rsidRPr="00A02BDC">
        <w:t xml:space="preserve"> R79, H122, E167, N166, N296, Y298, E356 and W402 (Fig</w:t>
      </w:r>
      <w:r w:rsidR="00F636BC" w:rsidRPr="00A02BDC">
        <w:t>.</w:t>
      </w:r>
      <w:r w:rsidRPr="00A02BDC">
        <w:t xml:space="preserve"> </w:t>
      </w:r>
      <w:r w:rsidR="00D96821" w:rsidRPr="00A02BDC">
        <w:t xml:space="preserve">3, &amp; </w:t>
      </w:r>
      <w:r w:rsidR="00BB1C6F" w:rsidRPr="00A02BDC">
        <w:t xml:space="preserve">Fig. </w:t>
      </w:r>
      <w:r w:rsidR="00D96821" w:rsidRPr="00A02BDC">
        <w:t>S</w:t>
      </w:r>
      <w:r w:rsidR="00FB5DD3" w:rsidRPr="00A02BDC">
        <w:t>4</w:t>
      </w:r>
      <w:r w:rsidRPr="00A02BDC">
        <w:t>).</w:t>
      </w:r>
    </w:p>
    <w:p w14:paraId="4718818E" w14:textId="62174708" w:rsidR="006242B3" w:rsidRPr="00A02BDC" w:rsidRDefault="00DC285A" w:rsidP="006242B3">
      <w:pPr>
        <w:jc w:val="both"/>
      </w:pPr>
      <w:r w:rsidRPr="00A02BDC">
        <w:t>The mechanism of catalysis generally described for this class of enzyme involves a double displacement reaction, requiring a proton donor and a nucleophile.</w:t>
      </w:r>
      <w:r w:rsidRPr="00A02BDC">
        <w:rPr>
          <w:rStyle w:val="FootnoteReference"/>
        </w:rPr>
        <w:fldChar w:fldCharType="begin" w:fldLock="1"/>
      </w:r>
      <w:r w:rsidR="00E40555" w:rsidRPr="00A02BDC">
        <w:rPr>
          <w:vertAlign w:val="superscript"/>
        </w:rPr>
        <w:instrText>ADDIN CSL_CITATION {"citationItems":[{"id":"ITEM-1","itemData":{"DOI":"10.1016/S0969-2126(01)00229-5","ISSN":"09692126","abstract":"Background: β-glucosidases occur in a variety of organisms and catalyze the hydrolysis of aryl and alkyl-β-D-glucosides as well as glucosides with only a carbohydrate moiety (such as cellobiose). The cyanogenic β-glucosidase from white clover (subsequently referred to as CBG) is responsible for the cleavage of cyanoglucosides. Both CBG and the cyanoglucosides occur within the plant cell wall where they are found in separate compartments and only come into contact when the leaf tissue experiences mechanical damage. This results in the eventual production of hydrogen cyanide which acts as a deterrent to grazing animals. β-glucosidases have been assigned to particular glycosyl hydrolase families on the basis of sequence similarity; this classification has placed CBG in family 1 (there are a total of over 40 families) for which a three-dimensional structure has so far not been determined. This is the first report of the three-dimensional structure of a glycosyl hydrolase from family 1. See Corrections. Results The crystal structure of CBG has been determined using multiple isomorphous replacement. The final model has been refined at 2.15 å resolution to an R factor of 18.9%. The overall fold of the molecule is a (β/α)8[or (α/β)8] barrel (in common with a number of glycosyl hydrolases) with all residues located in a single domain. Conclusion Sequence comparisons between β-glucosidases of the same family show that residues Glu183 and Glu397 are highly conserved. Both residues are positioned at the end of a pocket located at the C terminus of the barrel and have been assigned the respective roles of proton donor and nucleophile on the basis of inhibitor-binding and mutagenesis experiments. These roles are consistent with the environments of the two residues. The pocket itself is typical of a sugar-binding site as it contains a number of charged, aromatic and polar groups. In support of this role, we present crystallographic data on a possible product complex between CBG and glucose, resulting from co-crystallization of the native enzyme with its natural substrate, linamarin. © 1995 Elsevier Science Ltd. All rights reserved.","author":[{"dropping-particle":"","family":"Barrett","given":"T.","non-dropping-particle":"","parse-names":false,"suffix":""},{"dropping-particle":"","family":"Suresh","given":"CG G.","non-dropping-particle":"","parse-names":false,"suffix":""},{"dropping-particle":"","family":"Tolley","given":"SP P.","non-dropping-particle":"","parse-names":false,"suffix":""},{"dropping-particle":"","family":"Dodson","given":"EJ J.","non-dropping-particle":"","parse-names":false,"suffix":""},{"dropping-particle":"","family":"Hughes","given":"MA A.","non-dropping-particle":"","parse-names":false,"suffix":""}],"container-title":"Structure","id":"ITEM-1","issue":"9","issued":{"date-parts":[["1995"]]},"page":"951-960","title":"The crystal structure of a cyanogenic β-glucosidase from white clover, a family 1 glycosyl hydrolase","type":"article-journal","volume":"3"},"uris":["http://www.mendeley.com/documents/?uuid=a101186d-5509-4900-b762-46c0a442954e"]}],"mendeley":{"formattedCitation":"&lt;sup&gt;[27]&lt;/sup&gt;","plainTextFormattedCitation":"[27]","previouslyFormattedCitation":"&lt;sup&gt;[27]&lt;/sup&gt;"},"properties":{"noteIndex":0},"schema":"https://github.com/citation-style-language/schema/raw/master/csl-citation.json"}</w:instrText>
      </w:r>
      <w:r w:rsidRPr="00A02BDC">
        <w:rPr>
          <w:rStyle w:val="FootnoteReference"/>
        </w:rPr>
        <w:fldChar w:fldCharType="separate"/>
      </w:r>
      <w:r w:rsidRPr="00A02BDC">
        <w:rPr>
          <w:bCs/>
          <w:noProof/>
          <w:vertAlign w:val="superscript"/>
          <w:lang w:val="en-US"/>
        </w:rPr>
        <w:t>[27]</w:t>
      </w:r>
      <w:r w:rsidRPr="00A02BDC">
        <w:rPr>
          <w:rStyle w:val="FootnoteReference"/>
        </w:rPr>
        <w:fldChar w:fldCharType="end"/>
      </w:r>
      <w:r w:rsidRPr="00A02BDC">
        <w:t xml:space="preserve"> Previous results are consistent with an ionized carboxylic acid group acting as a catalytic nucleophile and a histidine residue or carboxylic acid group (with a significantly elevated pK</w:t>
      </w:r>
      <w:r w:rsidRPr="00A02BDC">
        <w:rPr>
          <w:vertAlign w:val="subscript"/>
        </w:rPr>
        <w:t>a</w:t>
      </w:r>
      <w:r w:rsidRPr="00A02BDC">
        <w:t xml:space="preserve">) behaving as a general acid catalyst. </w:t>
      </w:r>
      <w:r w:rsidR="006242B3" w:rsidRPr="00A02BDC">
        <w:t xml:space="preserve">Based </w:t>
      </w:r>
      <w:r w:rsidR="006242B3" w:rsidRPr="00A02BDC">
        <w:lastRenderedPageBreak/>
        <w:t xml:space="preserve">on comparisons made with </w:t>
      </w:r>
      <w:r w:rsidR="00016B98" w:rsidRPr="00A02BDC">
        <w:rPr>
          <w:iCs/>
        </w:rPr>
        <w:t>GH1 members in general</w:t>
      </w:r>
      <w:r w:rsidR="006242B3" w:rsidRPr="00A02BDC">
        <w:t>, E167 and E356 are likely to be the acid-base catalyst and nucleophile, respectively in the reaction (Fig</w:t>
      </w:r>
      <w:r w:rsidR="00565738" w:rsidRPr="00A02BDC">
        <w:t>.</w:t>
      </w:r>
      <w:r w:rsidR="006242B3" w:rsidRPr="00A02BDC">
        <w:t xml:space="preserve"> </w:t>
      </w:r>
      <w:r w:rsidR="00D96821" w:rsidRPr="00A02BDC">
        <w:t>3</w:t>
      </w:r>
      <w:r w:rsidR="00BB1C6F" w:rsidRPr="00A02BDC">
        <w:t xml:space="preserve"> &amp; Fig. S</w:t>
      </w:r>
      <w:r w:rsidR="00FB5DD3" w:rsidRPr="00A02BDC">
        <w:t>4</w:t>
      </w:r>
      <w:r w:rsidR="006242B3" w:rsidRPr="00A02BDC">
        <w:t>).</w:t>
      </w:r>
    </w:p>
    <w:p w14:paraId="3716892C" w14:textId="32ECDC37" w:rsidR="008F5420" w:rsidRPr="00A02BDC" w:rsidRDefault="00DC285A" w:rsidP="008F5420">
      <w:pPr>
        <w:jc w:val="both"/>
      </w:pPr>
      <w:r w:rsidRPr="00A02BDC">
        <w:t xml:space="preserve">With regards to </w:t>
      </w:r>
      <w:r w:rsidR="00710A13" w:rsidRPr="00A02BDC">
        <w:t>the active site architecture</w:t>
      </w:r>
      <w:r w:rsidR="00BA229B" w:rsidRPr="00A02BDC">
        <w:t xml:space="preserve"> of GH1 enzymes in general, structural and thus functional differences are attributed to the loop regions that are present between the </w:t>
      </w:r>
      <w:r w:rsidR="00BA229B" w:rsidRPr="00A02BDC">
        <w:sym w:font="Symbol" w:char="F062"/>
      </w:r>
      <w:r w:rsidR="00BA229B" w:rsidRPr="00A02BDC">
        <w:t>/</w:t>
      </w:r>
      <w:r w:rsidR="00BA229B" w:rsidRPr="00A02BDC">
        <w:sym w:font="Symbol" w:char="F061"/>
      </w:r>
      <w:r w:rsidR="00BA229B" w:rsidRPr="00A02BDC">
        <w:t xml:space="preserve"> motifs that shape the active site cavity</w:t>
      </w:r>
      <w:r w:rsidR="008F5420" w:rsidRPr="00A02BDC">
        <w:t xml:space="preserve">. This may be appreciated by comparison of the overall sequence and structure conservation of </w:t>
      </w:r>
      <w:r w:rsidR="008F5420" w:rsidRPr="00A02BDC">
        <w:rPr>
          <w:i/>
          <w:iCs/>
        </w:rPr>
        <w:t>Ahe</w:t>
      </w:r>
      <w:r w:rsidR="008F5420" w:rsidRPr="00A02BDC">
        <w:t>GH1 with all other enzymes of similar structure, using the ENDscript 2 server (http://endscript.ibcp.fr/ESPript/ENDscript/).</w:t>
      </w:r>
      <w:r w:rsidR="00E40555" w:rsidRPr="00A02BDC">
        <w:fldChar w:fldCharType="begin" w:fldLock="1"/>
      </w:r>
      <w:r w:rsidR="00E40555" w:rsidRPr="00A02BDC">
        <w:instrText>ADDIN CSL_CITATION {"citationItems":[{"id":"ITEM-1","itemData":{"DOI":"10.1093/nar/gku316","ISSN":"1362-4962","PMID":"24753421","abstract":"ENDscript 2 is a friendly Web server for extracting and rendering a comprehensive analysis of primary to quaternary protein structure information in an automated way. This major upgrade has been fully re-engineered to enhance speed, accuracy and usability with interactive 3D visualization. It takes advantage of the new version 3 of ESPript, our well-known sequence alignment renderer, improved to handle a large number of data with reduced computation time. From a single PDB entry or file, ENDscript produces high quality figures displaying multiple sequence alignment of proteins homologous to the query, colored according to residue conservation. Furthermore, the experimental secondary structure elements and a detailed set of relevant biophysical and structural data are depicted. All this information and more are now mapped on interactive 3D PyMOL representations. Thanks to its adaptive and rigorous algorithm, beginner to expert users can modify settings to fine-tune ENDscript to their needs. ENDscript has also been upgraded as an open platform for the visualization of multiple biochemical and structural data coming from external biotool Web servers, with both 2D and 3D representations. ENDscript 2 and ESPript 3 are freely available at http://endscript.ibcp.fr and http://espript.ibcp.fr, respectively.","author":[{"dropping-particle":"","family":"Robert","given":"Xavier","non-dropping-particle":"","parse-names":false,"suffix":""},{"dropping-particle":"","family":"Gouet","given":"Patrice","non-dropping-particle":"","parse-names":false,"suffix":""}],"container-title":"Nucleic Acids Research","id":"ITEM-1","issue":"W1","issued":{"date-parts":[["2014","7"]]},"page":"W320-W324","title":"Deciphering key features in protein structures with the new ENDscript server","type":"article-journal","volume":"42"},"uris":["http://www.mendeley.com/documents/?uuid=11b75f57-d77b-4120-9e42-97eb7014d685"]}],"mendeley":{"formattedCitation":"&lt;sup&gt;[28]&lt;/sup&gt;","plainTextFormattedCitation":"[28]","previouslyFormattedCitation":"&lt;sup&gt;[28]&lt;/sup&gt;"},"properties":{"noteIndex":0},"schema":"https://github.com/citation-style-language/schema/raw/master/csl-citation.json"}</w:instrText>
      </w:r>
      <w:r w:rsidR="00E40555" w:rsidRPr="00A02BDC">
        <w:fldChar w:fldCharType="separate"/>
      </w:r>
      <w:r w:rsidR="00E40555" w:rsidRPr="00A02BDC">
        <w:rPr>
          <w:noProof/>
          <w:vertAlign w:val="superscript"/>
        </w:rPr>
        <w:t>[28]</w:t>
      </w:r>
      <w:r w:rsidR="00E40555" w:rsidRPr="00A02BDC">
        <w:fldChar w:fldCharType="end"/>
      </w:r>
      <w:r w:rsidR="00E40555" w:rsidRPr="00A02BDC">
        <w:t xml:space="preserve"> </w:t>
      </w:r>
      <w:r w:rsidR="008F5420" w:rsidRPr="00A02BDC">
        <w:t xml:space="preserve">As expected, structure and sequence divergence occurs </w:t>
      </w:r>
      <w:r w:rsidR="008448C4" w:rsidRPr="00A02BDC">
        <w:t xml:space="preserve">mainly </w:t>
      </w:r>
      <w:r w:rsidR="008F5420" w:rsidRPr="00A02BDC">
        <w:t xml:space="preserve">in the loop regions connecting the </w:t>
      </w:r>
      <w:r w:rsidR="008F5420" w:rsidRPr="00A02BDC">
        <w:sym w:font="Symbol" w:char="F062"/>
      </w:r>
      <w:r w:rsidR="008F5420" w:rsidRPr="00A02BDC">
        <w:t>/</w:t>
      </w:r>
      <w:r w:rsidR="008F5420" w:rsidRPr="00A02BDC">
        <w:sym w:font="Symbol" w:char="F061"/>
      </w:r>
      <w:r w:rsidR="008F5420" w:rsidRPr="00A02BDC">
        <w:t xml:space="preserve"> motifs (Fig. S</w:t>
      </w:r>
      <w:r w:rsidR="00FB5DD3" w:rsidRPr="00A02BDC">
        <w:t>3</w:t>
      </w:r>
      <w:r w:rsidR="008F5420" w:rsidRPr="00A02BDC">
        <w:t>).</w:t>
      </w:r>
    </w:p>
    <w:p w14:paraId="628D50AC" w14:textId="0ACCEA1C" w:rsidR="0017089A" w:rsidRPr="00A02BDC" w:rsidRDefault="00C326B3" w:rsidP="0017089A">
      <w:pPr>
        <w:jc w:val="both"/>
      </w:pPr>
      <w:r w:rsidRPr="00A02BDC">
        <w:t xml:space="preserve"> </w:t>
      </w:r>
      <w:r w:rsidR="00710A13" w:rsidRPr="00A02BDC">
        <w:t xml:space="preserve">In </w:t>
      </w:r>
      <w:r w:rsidR="00710A13" w:rsidRPr="00A02BDC">
        <w:rPr>
          <w:i/>
          <w:iCs/>
        </w:rPr>
        <w:t>BlgB,</w:t>
      </w:r>
      <w:r w:rsidR="00710A13" w:rsidRPr="00A02BDC">
        <w:t xml:space="preserve"> n</w:t>
      </w:r>
      <w:r w:rsidR="0017089A" w:rsidRPr="00A02BDC">
        <w:t xml:space="preserve">ine active site residues </w:t>
      </w:r>
      <w:r w:rsidR="00710A13" w:rsidRPr="00A02BDC">
        <w:t xml:space="preserve">are reported to delineate </w:t>
      </w:r>
      <w:r w:rsidR="008F5420" w:rsidRPr="00A02BDC">
        <w:t>the entrance to the active site</w:t>
      </w:r>
      <w:r w:rsidR="00710A13" w:rsidRPr="00A02BDC">
        <w:t>:</w:t>
      </w:r>
      <w:r w:rsidR="0017089A" w:rsidRPr="00A02BDC">
        <w:t xml:space="preserve"> </w:t>
      </w:r>
      <w:r w:rsidR="00E61BC2" w:rsidRPr="00A02BDC">
        <w:t>Y</w:t>
      </w:r>
      <w:r w:rsidR="008448C4" w:rsidRPr="00A02BDC">
        <w:t>169</w:t>
      </w:r>
      <w:r w:rsidR="0017089A" w:rsidRPr="00A02BDC">
        <w:t>, T178,</w:t>
      </w:r>
      <w:r w:rsidR="008448C4" w:rsidRPr="00A02BDC">
        <w:t xml:space="preserve"> </w:t>
      </w:r>
      <w:r w:rsidR="00E61BC2" w:rsidRPr="00A02BDC">
        <w:t>E</w:t>
      </w:r>
      <w:r w:rsidR="008448C4" w:rsidRPr="00A02BDC">
        <w:t>180</w:t>
      </w:r>
      <w:r w:rsidR="0017089A" w:rsidRPr="00A02BDC">
        <w:t xml:space="preserve"> , </w:t>
      </w:r>
      <w:r w:rsidR="00E61BC2" w:rsidRPr="00A02BDC">
        <w:t>R243</w:t>
      </w:r>
      <w:r w:rsidR="0017089A" w:rsidRPr="00A02BDC">
        <w:t xml:space="preserve">, </w:t>
      </w:r>
      <w:r w:rsidR="00E61BC2" w:rsidRPr="00A02BDC">
        <w:t>E225</w:t>
      </w:r>
      <w:r w:rsidR="0017089A" w:rsidRPr="00A02BDC">
        <w:t xml:space="preserve">, </w:t>
      </w:r>
      <w:r w:rsidR="00E61BC2" w:rsidRPr="00A02BDC">
        <w:t>Q316</w:t>
      </w:r>
      <w:r w:rsidR="0017089A" w:rsidRPr="00A02BDC">
        <w:t xml:space="preserve">, </w:t>
      </w:r>
      <w:r w:rsidR="00E61BC2" w:rsidRPr="00A02BDC">
        <w:t>H318</w:t>
      </w:r>
      <w:r w:rsidR="0017089A" w:rsidRPr="00A02BDC">
        <w:t xml:space="preserve">, </w:t>
      </w:r>
      <w:r w:rsidR="00E61BC2" w:rsidRPr="00A02BDC">
        <w:t xml:space="preserve">W328 </w:t>
      </w:r>
      <w:r w:rsidR="0017089A" w:rsidRPr="00A02BDC">
        <w:t xml:space="preserve">and </w:t>
      </w:r>
      <w:r w:rsidR="00E61BC2" w:rsidRPr="00A02BDC">
        <w:t xml:space="preserve">W412 </w:t>
      </w:r>
      <w:r w:rsidR="0017089A" w:rsidRPr="00A02BDC">
        <w:t>(</w:t>
      </w:r>
      <w:r w:rsidR="0017089A" w:rsidRPr="00A02BDC">
        <w:rPr>
          <w:i/>
          <w:iCs/>
        </w:rPr>
        <w:t>BlgB</w:t>
      </w:r>
      <w:r w:rsidR="0017089A" w:rsidRPr="00A02BDC">
        <w:t xml:space="preserve"> numeration)</w:t>
      </w:r>
      <w:r w:rsidR="004F0221" w:rsidRPr="00A02BDC">
        <w:rPr>
          <w:i/>
          <w:iCs/>
        </w:rPr>
        <w:t xml:space="preserve"> </w:t>
      </w:r>
      <w:r w:rsidR="004F0221" w:rsidRPr="00A02BDC">
        <w:rPr>
          <w:rStyle w:val="FootnoteReference"/>
        </w:rPr>
        <w:fldChar w:fldCharType="begin" w:fldLock="1"/>
      </w:r>
      <w:r w:rsidR="00E40555" w:rsidRPr="00A02BDC">
        <w:rPr>
          <w:vertAlign w:val="superscript"/>
        </w:rPr>
        <w:instrText>ADDIN CSL_CITATION {"citationItems":[{"id":"ITEM-1","itemData":{"DOI":"10.1016/j.jmb.2007.05.082","ISSN":"00222836","abstract":"Bacteria species involved in degradation of cellulosic substrates produce a variety of enzymes for processing related compounds along the hydrolytic pathway. Paenibacillus polymyxa encodes two homologous β-glucosidases, BglA and BglB, presenting different quaternary structures and substrate specificities. We previously reported the 3D-structure of BglA, which is highly specific against cellobiose. Here, we present structural analysis of BglB, a monomeric enzyme that acts as an exo-β-glucosidase hydrolyzing cellobiose and cellodextrins of higher degree of polymerization. The crystal structure of BglB shows that several polar residues narrow the active site pocket and contour additional subsites. The structure of the BglB-cellotetraose complex confirms these subsites, revealing the substrate-binding mode, and shows the oligosaccharide-enzyme recognition pattern in detail. Comparison between BglA and BglB crystal structures suggests that oligomerization in BglA can assist in fine-tuning the specificity of the active centre by modulating the loops surrounding the cavity. We have solved the crystal structure of BglB with bound thiocellobiose, a competitive inhibitor, which together with the BglB-cellotetraose complex delineate the general features of the aglycon site. The detailed characterization of the atomic interactions at the aglycon site show a recognition pattern common to all bacterial β-glucosidases, and presents some differences with the aglycon site in plant β-glycosidases essentially by means of a different orientation of the basal Trp. The crystal structures of of BglB with a covalently bound inhibitor (derived from 2-fluoroglucoside) and glucose (produced by hydrolysis of the substrate in the crystal), provide additional pictures of the binding events and the intermediates formed during the reaction. Altogether, this information can assist in the understanding of subtle differences of the enzyme mechanism and substrate recognition within this family of enzymes, and consequently it can help in the development of new enzymes with improved activity or specificity. © 2007 Elsevier Ltd. All rights reserved.","author":[{"dropping-particle":"","family":"Isorna","given":"Pablo","non-dropping-particle":"","parse-names":false,"suffix":""},{"dropping-particle":"","family":"Polaina","given":"Julio","non-dropping-particle":"","parse-names":false,"suffix":""},{"dropping-particle":"","family":"Latorre-García","given":"Lorena","non-dropping-particle":"","parse-names":false,"suffix":""},{"dropping-particle":"","family":"Cañada","given":"Francisco Javier","non-dropping-particle":"","parse-names":false,"suffix":""},{"dropping-particle":"","family":"González","given":"Beatriz","non-dropping-particle":"","parse-names":false,"suffix":""},{"dropping-particle":"","family":"Sanz-Aparicio","given":"Julia","non-dropping-particle":"","parse-names":false,"suffix":""}],"container-title":"Journal of Molecular Biology","id":"ITEM-1","issue":"5","issued":{"date-parts":[["2007"]]},"page":"1204-1218","title":"Crystal Structures of Paenibacillus polymyxa β-Glucosidase B Complexes Reveal the Molecular Basis of Substrate Specificity and Give New Insights into the Catalytic Machinery of Family I Glycosidases","type":"article-journal","volume":"371"},"uris":["http://www.mendeley.com/documents/?uuid=f1d2819c-ea10-4dcc-af86-025a52ad1e8d"]}],"mendeley":{"formattedCitation":"&lt;sup&gt;[25]&lt;/sup&gt;","plainTextFormattedCitation":"[25]","previouslyFormattedCitation":"&lt;sup&gt;[25]&lt;/sup&gt;"},"properties":{"noteIndex":0},"schema":"https://github.com/citation-style-language/schema/raw/master/csl-citation.json"}</w:instrText>
      </w:r>
      <w:r w:rsidR="004F0221" w:rsidRPr="00A02BDC">
        <w:rPr>
          <w:rStyle w:val="FootnoteReference"/>
        </w:rPr>
        <w:fldChar w:fldCharType="separate"/>
      </w:r>
      <w:r w:rsidR="004F0221" w:rsidRPr="00A02BDC">
        <w:rPr>
          <w:noProof/>
          <w:vertAlign w:val="superscript"/>
        </w:rPr>
        <w:t>[25]</w:t>
      </w:r>
      <w:r w:rsidR="004F0221" w:rsidRPr="00A02BDC">
        <w:rPr>
          <w:rStyle w:val="FootnoteReference"/>
        </w:rPr>
        <w:fldChar w:fldCharType="end"/>
      </w:r>
      <w:r w:rsidR="0017089A" w:rsidRPr="00A02BDC">
        <w:t xml:space="preserve">. </w:t>
      </w:r>
      <w:r w:rsidR="006242B3" w:rsidRPr="00A02BDC">
        <w:t>These residues render the active site cavity narrower in comparis</w:t>
      </w:r>
      <w:r w:rsidR="004F0221" w:rsidRPr="00A02BDC">
        <w:t xml:space="preserve">on with its homolog </w:t>
      </w:r>
      <w:r w:rsidR="004F0221" w:rsidRPr="00A02BDC">
        <w:rPr>
          <w:i/>
          <w:iCs/>
        </w:rPr>
        <w:t>BglA</w:t>
      </w:r>
      <w:r w:rsidR="002E1BEA" w:rsidRPr="00A02BDC">
        <w:rPr>
          <w:i/>
          <w:iCs/>
        </w:rPr>
        <w:t xml:space="preserve"> </w:t>
      </w:r>
      <w:r w:rsidR="002E1BEA" w:rsidRPr="00A02BDC">
        <w:t>(PDB</w:t>
      </w:r>
      <w:r w:rsidR="00602064" w:rsidRPr="00A02BDC">
        <w:t xml:space="preserve">: </w:t>
      </w:r>
      <w:r w:rsidR="002E1BEA" w:rsidRPr="00A02BDC">
        <w:t>1E4Y)</w:t>
      </w:r>
      <w:r w:rsidR="004F0221" w:rsidRPr="00A02BDC">
        <w:rPr>
          <w:i/>
          <w:iCs/>
        </w:rPr>
        <w:t>.</w:t>
      </w:r>
      <w:r w:rsidR="00E40555" w:rsidRPr="00A02BDC">
        <w:rPr>
          <w:i/>
          <w:iCs/>
        </w:rPr>
        <w:fldChar w:fldCharType="begin" w:fldLock="1"/>
      </w:r>
      <w:r w:rsidR="002A2880" w:rsidRPr="00A02BDC">
        <w:rPr>
          <w:i/>
          <w:iCs/>
        </w:rPr>
        <w:instrText>ADDIN CSL_CITATION {"citationItems":[{"id":"ITEM-1","itemData":{"DOI":"10.1002/(SICI)1097-0134(19981201)33:4&lt;567::AID-PROT9&gt;3.0.CO;2-U","ISSN":"08873585","PMID":"9849940","abstract":"The increasing development of the biotechnology industry demands the design of enzymes suitable to be used in conditions that often require broad resistance against adverse conditions. β-glucosidase A from Bacillus polymyxa is an interesting model for studies of protein engineering. This is a well-characterized enzyme, belonging to glycosyl hydrolase family 1. Its natural substrate is cellobiose, but is also active against various artificial substrates. In its native state has an octameric structure. Its subunit conserves the general (α/β)8 barrel topology of its family, with the active site being in a cavity defined along the axis of the barrel. Using random-mutagenesis, we have identified several mutations enhancing its stability and it was found that one them, the E96K substitution, involved structural changes. The crystal structure of this mutant has been determined by X-ray diffraction and compared with the native structure. The only difference founded between both structures is a new ion pair linking Lys96 introduced at the N-terminus of helix α2, to Asp28, located in one of the loops surrounding the active-site cavity. The new ion pair binds two segments of the chain that are distant in sequence and, therefore, this favorable interaction must exert a determinant influence in stabilizing the tertiary structure. Furthermore, analysis of the crystallographic isotropic temperature factors reveals that, as a direct consequence of the introduced ion pair, an unexpected decreased mobility of secondary structure units of the barrel which are proximal to the site of mutation is observed. However, this effect is observed only in the surrounding of one of the partners forming the salt bridge and not around the other. These results show that far-reaching effects can be achieved by a single amino acid replacement within the protein structure. Consequently, the identification and combination of a few single substitutions affecting stability may be sufficient to obtain a highly resistant enzyme, suitable to be used under extreme conditions.","author":[{"dropping-particle":"","family":"Sanz-Aparicio","given":"J.","non-dropping-particle":"","parse-names":false,"suffix":""},{"dropping-particle":"","family":"Hermoso","given":"J. A.","non-dropping-particle":"","parse-names":false,"suffix":""},{"dropping-particle":"","family":"Martínez-Ripoll","given":"M.","non-dropping-particle":"","parse-names":false,"suffix":""},{"dropping-particle":"","family":"González","given":"B.","non-dropping-particle":"","parse-names":false,"suffix":""},{"dropping-particle":"","family":"López-Camacho","given":"C.","non-dropping-particle":"","parse-names":false,"suffix":""},{"dropping-particle":"","family":"Polaina","given":"J.","non-dropping-particle":"","parse-names":false,"suffix":""}],"container-title":"Proteins: Structure, Function and Genetics","id":"ITEM-1","issue":"4","issued":{"date-parts":[["1998"]]},"page":"567-576","title":"Structural basis of increased resistance to thermal denaturation induced by single amino acid substitution in the sequence of β-glucosidase a from Bacillus polymyxa","type":"article-journal","volume":"33"},"uris":["http://www.mendeley.com/documents/?uuid=2679640c-c0c7-42f2-8034-99fb529210eb"]}],"mendeley":{"formattedCitation":"&lt;sup&gt;[29]&lt;/sup&gt;","plainTextFormattedCitation":"[29]","previouslyFormattedCitation":"&lt;sup&gt;[29]&lt;/sup&gt;"},"properties":{"noteIndex":0},"schema":"https://github.com/citation-style-language/schema/raw/master/csl-citation.json"}</w:instrText>
      </w:r>
      <w:r w:rsidR="00E40555" w:rsidRPr="00A02BDC">
        <w:rPr>
          <w:i/>
          <w:iCs/>
        </w:rPr>
        <w:fldChar w:fldCharType="separate"/>
      </w:r>
      <w:r w:rsidR="00E40555" w:rsidRPr="00A02BDC">
        <w:rPr>
          <w:iCs/>
          <w:noProof/>
          <w:vertAlign w:val="superscript"/>
        </w:rPr>
        <w:t>[29]</w:t>
      </w:r>
      <w:r w:rsidR="00E40555" w:rsidRPr="00A02BDC">
        <w:rPr>
          <w:i/>
          <w:iCs/>
        </w:rPr>
        <w:fldChar w:fldCharType="end"/>
      </w:r>
      <w:r w:rsidR="004F0221" w:rsidRPr="00A02BDC">
        <w:t xml:space="preserve"> Except</w:t>
      </w:r>
      <w:r w:rsidR="0017089A" w:rsidRPr="00A02BDC">
        <w:t xml:space="preserve"> f</w:t>
      </w:r>
      <w:r w:rsidR="00371FCA" w:rsidRPr="00A02BDC">
        <w:t>or</w:t>
      </w:r>
      <w:r w:rsidR="0017089A" w:rsidRPr="00A02BDC">
        <w:t xml:space="preserve"> </w:t>
      </w:r>
      <w:r w:rsidR="00E61BC2" w:rsidRPr="00A02BDC">
        <w:t>W328</w:t>
      </w:r>
      <w:r w:rsidR="0017089A" w:rsidRPr="00A02BDC">
        <w:t xml:space="preserve">, all remaining residues </w:t>
      </w:r>
      <w:r w:rsidR="004F0221" w:rsidRPr="00A02BDC">
        <w:t xml:space="preserve">in </w:t>
      </w:r>
      <w:r w:rsidR="004F0221" w:rsidRPr="00A02BDC">
        <w:rPr>
          <w:i/>
          <w:iCs/>
        </w:rPr>
        <w:t>Ahe</w:t>
      </w:r>
      <w:r w:rsidR="004F0221" w:rsidRPr="00A02BDC">
        <w:t xml:space="preserve">GH1 </w:t>
      </w:r>
      <w:r w:rsidR="0017089A" w:rsidRPr="00A02BDC">
        <w:t>are not conserved</w:t>
      </w:r>
      <w:r w:rsidR="00602064" w:rsidRPr="00A02BDC">
        <w:t xml:space="preserve"> (Fig. S</w:t>
      </w:r>
      <w:r w:rsidR="00FB5DD3" w:rsidRPr="00A02BDC">
        <w:t>4</w:t>
      </w:r>
      <w:r w:rsidR="00602064" w:rsidRPr="00A02BDC">
        <w:t>.)</w:t>
      </w:r>
      <w:r w:rsidR="0017089A" w:rsidRPr="00A02BDC">
        <w:t xml:space="preserve">. Higher similarity, in terms of sequence identity, was on the other hand detected between </w:t>
      </w:r>
      <w:r w:rsidR="0017089A" w:rsidRPr="00A02BDC">
        <w:rPr>
          <w:i/>
          <w:iCs/>
        </w:rPr>
        <w:t>Ahe</w:t>
      </w:r>
      <w:r w:rsidR="0017089A" w:rsidRPr="00A02BDC">
        <w:t xml:space="preserve">GH1 and the </w:t>
      </w:r>
      <w:r w:rsidR="004F0221" w:rsidRPr="00A02BDC">
        <w:rPr>
          <w:i/>
          <w:iCs/>
        </w:rPr>
        <w:t>BglA</w:t>
      </w:r>
      <w:r w:rsidR="004F0221" w:rsidRPr="00A02BDC">
        <w:t xml:space="preserve"> </w:t>
      </w:r>
      <w:r w:rsidR="0017089A" w:rsidRPr="00A02BDC">
        <w:t xml:space="preserve">active site, defined by residues </w:t>
      </w:r>
      <w:r w:rsidR="00E61BC2" w:rsidRPr="00A02BDC">
        <w:t>W</w:t>
      </w:r>
      <w:r w:rsidR="00ED2821" w:rsidRPr="00A02BDC">
        <w:t xml:space="preserve">168, </w:t>
      </w:r>
      <w:r w:rsidR="00E61BC2" w:rsidRPr="00A02BDC">
        <w:t>L</w:t>
      </w:r>
      <w:r w:rsidR="00ED2821" w:rsidRPr="00A02BDC">
        <w:t xml:space="preserve">177, </w:t>
      </w:r>
      <w:r w:rsidR="0017089A" w:rsidRPr="00A02BDC">
        <w:t>V</w:t>
      </w:r>
      <w:proofErr w:type="gramStart"/>
      <w:r w:rsidR="0017089A" w:rsidRPr="00A02BDC">
        <w:t xml:space="preserve">179,  </w:t>
      </w:r>
      <w:r w:rsidR="00ED2821" w:rsidRPr="00A02BDC">
        <w:t>S</w:t>
      </w:r>
      <w:proofErr w:type="gramEnd"/>
      <w:r w:rsidR="00ED2821" w:rsidRPr="00A02BDC">
        <w:t xml:space="preserve">224, </w:t>
      </w:r>
      <w:r w:rsidR="0017089A" w:rsidRPr="00A02BDC">
        <w:t xml:space="preserve">T242, </w:t>
      </w:r>
      <w:r w:rsidR="00E61BC2" w:rsidRPr="00A02BDC">
        <w:t>E</w:t>
      </w:r>
      <w:r w:rsidR="0017089A" w:rsidRPr="00A02BDC">
        <w:t xml:space="preserve">314, </w:t>
      </w:r>
      <w:r w:rsidR="00E61BC2" w:rsidRPr="00A02BDC">
        <w:t>N316</w:t>
      </w:r>
      <w:r w:rsidR="0017089A" w:rsidRPr="00A02BDC">
        <w:t xml:space="preserve">, </w:t>
      </w:r>
      <w:r w:rsidR="00E61BC2" w:rsidRPr="00A02BDC">
        <w:t>W</w:t>
      </w:r>
      <w:r w:rsidR="0017089A" w:rsidRPr="00A02BDC">
        <w:t xml:space="preserve">326 and </w:t>
      </w:r>
      <w:r w:rsidR="00E61BC2" w:rsidRPr="00A02BDC">
        <w:t>E408</w:t>
      </w:r>
      <w:r w:rsidR="0017089A" w:rsidRPr="00A02BDC">
        <w:t xml:space="preserve">. Three </w:t>
      </w:r>
      <w:r w:rsidR="0018091C" w:rsidRPr="00A02BDC">
        <w:t xml:space="preserve">out of </w:t>
      </w:r>
      <w:r w:rsidR="0017089A" w:rsidRPr="00A02BDC">
        <w:t>the nine residues (</w:t>
      </w:r>
      <w:proofErr w:type="gramStart"/>
      <w:r w:rsidR="0017089A" w:rsidRPr="00A02BDC">
        <w:t>i.e.</w:t>
      </w:r>
      <w:proofErr w:type="gramEnd"/>
      <w:r w:rsidR="00C27F5E" w:rsidRPr="00A02BDC">
        <w:t xml:space="preserve"> </w:t>
      </w:r>
      <w:r w:rsidR="002A2880" w:rsidRPr="00A02BDC">
        <w:t>W</w:t>
      </w:r>
      <w:r w:rsidR="0017089A" w:rsidRPr="00A02BDC">
        <w:t>168</w:t>
      </w:r>
      <w:r w:rsidR="00C27F5E" w:rsidRPr="00A02BDC">
        <w:t>,</w:t>
      </w:r>
      <w:r w:rsidR="0017089A" w:rsidRPr="00A02BDC">
        <w:t xml:space="preserve"> </w:t>
      </w:r>
      <w:r w:rsidR="00C27F5E" w:rsidRPr="00A02BDC">
        <w:t xml:space="preserve">V179 </w:t>
      </w:r>
      <w:r w:rsidR="0017089A" w:rsidRPr="00A02BDC">
        <w:t xml:space="preserve">and </w:t>
      </w:r>
      <w:r w:rsidR="002A2880" w:rsidRPr="00A02BDC">
        <w:t>W</w:t>
      </w:r>
      <w:r w:rsidR="0017089A" w:rsidRPr="00A02BDC">
        <w:t>326</w:t>
      </w:r>
      <w:r w:rsidR="00D77B79" w:rsidRPr="00A02BDC">
        <w:t xml:space="preserve">; Fig. </w:t>
      </w:r>
      <w:r w:rsidR="00602064" w:rsidRPr="00A02BDC">
        <w:t>S</w:t>
      </w:r>
      <w:r w:rsidR="00FB5DD3" w:rsidRPr="00A02BDC">
        <w:t>4</w:t>
      </w:r>
      <w:r w:rsidR="0017089A" w:rsidRPr="00A02BDC">
        <w:t xml:space="preserve">) are conserved </w:t>
      </w:r>
      <w:r w:rsidR="0018091C" w:rsidRPr="00A02BDC">
        <w:t xml:space="preserve">between </w:t>
      </w:r>
      <w:r w:rsidR="0017089A" w:rsidRPr="00A02BDC">
        <w:t xml:space="preserve">the two proteins. In addition, according to the nature and steric hindrance of the </w:t>
      </w:r>
      <w:proofErr w:type="gramStart"/>
      <w:r w:rsidR="0017089A" w:rsidRPr="00A02BDC">
        <w:t>side-chains</w:t>
      </w:r>
      <w:proofErr w:type="gramEnd"/>
      <w:r w:rsidR="0017089A" w:rsidRPr="00A02BDC">
        <w:t xml:space="preserve"> of the residues defining the active site, the </w:t>
      </w:r>
      <w:r w:rsidR="0017089A" w:rsidRPr="00A02BDC">
        <w:rPr>
          <w:i/>
          <w:iCs/>
        </w:rPr>
        <w:t>Ahe</w:t>
      </w:r>
      <w:r w:rsidR="0017089A" w:rsidRPr="00A02BDC">
        <w:t xml:space="preserve">GH1 cavity is more similar to that of </w:t>
      </w:r>
      <w:r w:rsidR="004F0221" w:rsidRPr="00A02BDC">
        <w:rPr>
          <w:i/>
          <w:iCs/>
        </w:rPr>
        <w:t>BglA</w:t>
      </w:r>
      <w:r w:rsidR="0017089A" w:rsidRPr="00A02BDC">
        <w:t>.</w:t>
      </w:r>
      <w:r w:rsidR="00D77B79" w:rsidRPr="00A02BDC">
        <w:t xml:space="preserve"> </w:t>
      </w:r>
    </w:p>
    <w:p w14:paraId="1A272358" w14:textId="40FEC1C8" w:rsidR="0017089A" w:rsidRPr="00A02BDC" w:rsidRDefault="00637C9B" w:rsidP="0017089A">
      <w:pPr>
        <w:keepNext/>
        <w:spacing w:line="240" w:lineRule="auto"/>
        <w:jc w:val="center"/>
      </w:pPr>
      <w:r w:rsidRPr="00A02BDC">
        <w:rPr>
          <w:noProof/>
        </w:rPr>
        <w:lastRenderedPageBreak/>
        <w:drawing>
          <wp:inline distT="0" distB="0" distL="0" distR="0" wp14:anchorId="085CF27F" wp14:editId="5F02F21A">
            <wp:extent cx="6120130" cy="6120130"/>
            <wp:effectExtent l="0" t="0" r="1270" b="127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20130" cy="6120130"/>
                    </a:xfrm>
                    <a:prstGeom prst="rect">
                      <a:avLst/>
                    </a:prstGeom>
                  </pic:spPr>
                </pic:pic>
              </a:graphicData>
            </a:graphic>
          </wp:inline>
        </w:drawing>
      </w:r>
    </w:p>
    <w:p w14:paraId="6A8398CB" w14:textId="3BA2CEDA" w:rsidR="0017089A" w:rsidRPr="00A02BDC" w:rsidRDefault="0017089A" w:rsidP="0017089A">
      <w:pPr>
        <w:pStyle w:val="Caption"/>
        <w:jc w:val="center"/>
        <w:rPr>
          <w:color w:val="000000" w:themeColor="text1"/>
        </w:rPr>
      </w:pPr>
      <w:r w:rsidRPr="00A02BDC">
        <w:rPr>
          <w:color w:val="000000" w:themeColor="text1"/>
        </w:rPr>
        <w:t xml:space="preserve">Figure </w:t>
      </w:r>
      <w:r w:rsidRPr="00A02BDC">
        <w:rPr>
          <w:color w:val="000000" w:themeColor="text1"/>
        </w:rPr>
        <w:fldChar w:fldCharType="begin"/>
      </w:r>
      <w:r w:rsidRPr="00A02BDC">
        <w:rPr>
          <w:color w:val="000000" w:themeColor="text1"/>
        </w:rPr>
        <w:instrText xml:space="preserve"> SEQ Figure \* ARABIC </w:instrText>
      </w:r>
      <w:r w:rsidRPr="00A02BDC">
        <w:rPr>
          <w:color w:val="000000" w:themeColor="text1"/>
        </w:rPr>
        <w:fldChar w:fldCharType="separate"/>
      </w:r>
      <w:r w:rsidRPr="00A02BDC">
        <w:rPr>
          <w:noProof/>
          <w:color w:val="000000" w:themeColor="text1"/>
        </w:rPr>
        <w:t>3</w:t>
      </w:r>
      <w:r w:rsidRPr="00A02BDC">
        <w:rPr>
          <w:color w:val="000000" w:themeColor="text1"/>
        </w:rPr>
        <w:fldChar w:fldCharType="end"/>
      </w:r>
      <w:r w:rsidRPr="00A02BDC">
        <w:rPr>
          <w:color w:val="000000" w:themeColor="text1"/>
        </w:rPr>
        <w:t xml:space="preserve">. </w:t>
      </w:r>
      <w:r w:rsidR="00ED2821" w:rsidRPr="00A02BDC">
        <w:rPr>
          <w:color w:val="000000" w:themeColor="text1"/>
        </w:rPr>
        <w:t xml:space="preserve">The </w:t>
      </w:r>
      <w:r w:rsidR="00ED2821" w:rsidRPr="00A02BDC">
        <w:rPr>
          <w:i/>
          <w:iCs/>
          <w:color w:val="000000" w:themeColor="text1"/>
        </w:rPr>
        <w:t>Ahe</w:t>
      </w:r>
      <w:r w:rsidR="00ED2821" w:rsidRPr="00A02BDC">
        <w:rPr>
          <w:color w:val="000000" w:themeColor="text1"/>
        </w:rPr>
        <w:t>GH1 active site. A)</w:t>
      </w:r>
      <w:r w:rsidRPr="00A02BDC">
        <w:rPr>
          <w:color w:val="000000" w:themeColor="text1"/>
        </w:rPr>
        <w:t xml:space="preserve"> </w:t>
      </w:r>
      <w:proofErr w:type="gramStart"/>
      <w:r w:rsidRPr="00A02BDC">
        <w:rPr>
          <w:color w:val="000000" w:themeColor="text1"/>
        </w:rPr>
        <w:t>Stereo-view</w:t>
      </w:r>
      <w:proofErr w:type="gramEnd"/>
      <w:r w:rsidRPr="00A02BDC">
        <w:rPr>
          <w:color w:val="000000" w:themeColor="text1"/>
        </w:rPr>
        <w:t xml:space="preserve"> of the </w:t>
      </w:r>
      <w:r w:rsidR="004F0221" w:rsidRPr="00A02BDC">
        <w:rPr>
          <w:i/>
          <w:iCs/>
          <w:color w:val="000000" w:themeColor="text1"/>
        </w:rPr>
        <w:t>Ahe</w:t>
      </w:r>
      <w:r w:rsidR="004F0221" w:rsidRPr="00A02BDC">
        <w:rPr>
          <w:color w:val="000000" w:themeColor="text1"/>
        </w:rPr>
        <w:t>GH1</w:t>
      </w:r>
      <w:r w:rsidRPr="00A02BDC">
        <w:rPr>
          <w:color w:val="000000" w:themeColor="text1"/>
        </w:rPr>
        <w:t xml:space="preserve"> putative active site showing active site residues delineating the pocket (sticks). Proposed catalytic resides </w:t>
      </w:r>
      <w:r w:rsidR="00E61BC2" w:rsidRPr="00A02BDC">
        <w:rPr>
          <w:color w:val="000000" w:themeColor="text1"/>
        </w:rPr>
        <w:t xml:space="preserve">E356 </w:t>
      </w:r>
      <w:r w:rsidRPr="00A02BDC">
        <w:rPr>
          <w:color w:val="000000" w:themeColor="text1"/>
        </w:rPr>
        <w:t xml:space="preserve">and </w:t>
      </w:r>
      <w:r w:rsidR="00E61BC2" w:rsidRPr="00A02BDC">
        <w:rPr>
          <w:color w:val="000000" w:themeColor="text1"/>
        </w:rPr>
        <w:t xml:space="preserve">E167 </w:t>
      </w:r>
      <w:r w:rsidRPr="00A02BDC">
        <w:rPr>
          <w:color w:val="000000" w:themeColor="text1"/>
        </w:rPr>
        <w:t>are indicated</w:t>
      </w:r>
      <w:r w:rsidR="00ED2821" w:rsidRPr="00A02BDC">
        <w:rPr>
          <w:color w:val="000000" w:themeColor="text1"/>
        </w:rPr>
        <w:t>; B)</w:t>
      </w:r>
      <w:r w:rsidRPr="00A02BDC">
        <w:rPr>
          <w:color w:val="000000" w:themeColor="text1"/>
        </w:rPr>
        <w:t xml:space="preserve"> structural superposition of the active sites of </w:t>
      </w:r>
      <w:r w:rsidR="004F0221" w:rsidRPr="00A02BDC">
        <w:rPr>
          <w:i/>
          <w:iCs/>
          <w:color w:val="000000" w:themeColor="text1"/>
        </w:rPr>
        <w:t>Ahe</w:t>
      </w:r>
      <w:r w:rsidR="004F0221" w:rsidRPr="00A02BDC">
        <w:rPr>
          <w:color w:val="000000" w:themeColor="text1"/>
        </w:rPr>
        <w:t>GH1</w:t>
      </w:r>
      <w:r w:rsidRPr="00A02BDC">
        <w:rPr>
          <w:color w:val="000000" w:themeColor="text1"/>
        </w:rPr>
        <w:t xml:space="preserve"> (blue) and the homologous protein </w:t>
      </w:r>
      <w:r w:rsidRPr="00A02BDC">
        <w:rPr>
          <w:i/>
          <w:iCs/>
          <w:color w:val="000000" w:themeColor="text1"/>
        </w:rPr>
        <w:t>BglA</w:t>
      </w:r>
      <w:r w:rsidRPr="00A02BDC">
        <w:rPr>
          <w:color w:val="000000" w:themeColor="text1"/>
        </w:rPr>
        <w:t xml:space="preserve"> (gold, PDB</w:t>
      </w:r>
      <w:r w:rsidR="00602064" w:rsidRPr="00A02BDC">
        <w:rPr>
          <w:color w:val="000000" w:themeColor="text1"/>
        </w:rPr>
        <w:t>:</w:t>
      </w:r>
      <w:r w:rsidRPr="00A02BDC">
        <w:rPr>
          <w:color w:val="000000" w:themeColor="text1"/>
        </w:rPr>
        <w:t xml:space="preserve"> 1E4I) complexed with 2-deoxy-2-fluoro-alpha-D-glucopyranose catalytic intermediate (yellow sticks)</w:t>
      </w:r>
      <w:r w:rsidR="00DF05D6" w:rsidRPr="00A02BDC">
        <w:rPr>
          <w:color w:val="000000" w:themeColor="text1"/>
        </w:rPr>
        <w:t xml:space="preserve"> </w:t>
      </w:r>
      <w:r w:rsidR="00ED2821" w:rsidRPr="00A02BDC">
        <w:rPr>
          <w:color w:val="000000" w:themeColor="text1"/>
        </w:rPr>
        <w:t xml:space="preserve">and C) Superposition of </w:t>
      </w:r>
      <w:r w:rsidR="00ED2821" w:rsidRPr="00A02BDC">
        <w:rPr>
          <w:i/>
          <w:iCs/>
          <w:color w:val="000000" w:themeColor="text1"/>
        </w:rPr>
        <w:t>Ahe</w:t>
      </w:r>
      <w:r w:rsidR="00ED2821" w:rsidRPr="00A02BDC">
        <w:rPr>
          <w:color w:val="000000" w:themeColor="text1"/>
        </w:rPr>
        <w:t xml:space="preserve">GH1 </w:t>
      </w:r>
      <w:r w:rsidR="00A12DA4" w:rsidRPr="00A02BDC">
        <w:rPr>
          <w:color w:val="000000" w:themeColor="text1"/>
        </w:rPr>
        <w:t xml:space="preserve">(ice blue) </w:t>
      </w:r>
      <w:r w:rsidR="00ED2821" w:rsidRPr="00A02BDC">
        <w:rPr>
          <w:color w:val="000000" w:themeColor="text1"/>
        </w:rPr>
        <w:t xml:space="preserve">with </w:t>
      </w:r>
      <w:r w:rsidR="00ED2821" w:rsidRPr="00A02BDC">
        <w:rPr>
          <w:i/>
          <w:iCs/>
          <w:color w:val="000000" w:themeColor="text1"/>
        </w:rPr>
        <w:t>B</w:t>
      </w:r>
      <w:r w:rsidR="00204BEA" w:rsidRPr="00A02BDC">
        <w:rPr>
          <w:i/>
          <w:iCs/>
          <w:color w:val="000000" w:themeColor="text1"/>
        </w:rPr>
        <w:t>gl</w:t>
      </w:r>
      <w:r w:rsidR="00ED2821" w:rsidRPr="00A02BDC">
        <w:rPr>
          <w:i/>
          <w:iCs/>
          <w:color w:val="000000" w:themeColor="text1"/>
        </w:rPr>
        <w:t>A</w:t>
      </w:r>
      <w:r w:rsidR="00ED2821" w:rsidRPr="00A02BDC">
        <w:rPr>
          <w:color w:val="000000" w:themeColor="text1"/>
        </w:rPr>
        <w:t xml:space="preserve"> </w:t>
      </w:r>
      <w:r w:rsidR="00A12DA4" w:rsidRPr="00A02BDC">
        <w:rPr>
          <w:color w:val="000000" w:themeColor="text1"/>
        </w:rPr>
        <w:t>(</w:t>
      </w:r>
      <w:r w:rsidR="00637C9B" w:rsidRPr="00A02BDC">
        <w:rPr>
          <w:color w:val="000000" w:themeColor="text1"/>
        </w:rPr>
        <w:t>yellow</w:t>
      </w:r>
      <w:r w:rsidR="00A12DA4" w:rsidRPr="00A02BDC">
        <w:rPr>
          <w:color w:val="000000" w:themeColor="text1"/>
        </w:rPr>
        <w:t xml:space="preserve">) </w:t>
      </w:r>
      <w:r w:rsidR="00ED2821" w:rsidRPr="00A02BDC">
        <w:rPr>
          <w:color w:val="000000" w:themeColor="text1"/>
        </w:rPr>
        <w:t xml:space="preserve">and </w:t>
      </w:r>
      <w:r w:rsidR="00ED2821" w:rsidRPr="00A02BDC">
        <w:rPr>
          <w:i/>
          <w:iCs/>
          <w:color w:val="000000" w:themeColor="text1"/>
        </w:rPr>
        <w:t>Bg</w:t>
      </w:r>
      <w:r w:rsidR="00204BEA" w:rsidRPr="00A02BDC">
        <w:rPr>
          <w:i/>
          <w:iCs/>
          <w:color w:val="000000" w:themeColor="text1"/>
        </w:rPr>
        <w:t>l</w:t>
      </w:r>
      <w:r w:rsidR="00ED2821" w:rsidRPr="00A02BDC">
        <w:rPr>
          <w:i/>
          <w:iCs/>
          <w:color w:val="000000" w:themeColor="text1"/>
        </w:rPr>
        <w:t>B</w:t>
      </w:r>
      <w:r w:rsidR="00ED2821" w:rsidRPr="00A02BDC">
        <w:rPr>
          <w:color w:val="000000" w:themeColor="text1"/>
        </w:rPr>
        <w:t xml:space="preserve"> </w:t>
      </w:r>
      <w:r w:rsidR="00204BEA" w:rsidRPr="00A02BDC">
        <w:rPr>
          <w:color w:val="000000" w:themeColor="text1"/>
        </w:rPr>
        <w:t>(</w:t>
      </w:r>
      <w:r w:rsidR="00637C9B" w:rsidRPr="00A02BDC">
        <w:rPr>
          <w:color w:val="000000" w:themeColor="text1"/>
        </w:rPr>
        <w:t>pink</w:t>
      </w:r>
      <w:r w:rsidR="00204BEA" w:rsidRPr="00A02BDC">
        <w:rPr>
          <w:color w:val="000000" w:themeColor="text1"/>
        </w:rPr>
        <w:t xml:space="preserve">) </w:t>
      </w:r>
      <w:r w:rsidR="00ED2821" w:rsidRPr="00A02BDC">
        <w:rPr>
          <w:color w:val="000000" w:themeColor="text1"/>
        </w:rPr>
        <w:t>in complex with glucose (PDB</w:t>
      </w:r>
      <w:r w:rsidR="00602064" w:rsidRPr="00A02BDC">
        <w:rPr>
          <w:color w:val="000000" w:themeColor="text1"/>
        </w:rPr>
        <w:t>:</w:t>
      </w:r>
      <w:r w:rsidR="00ED2821" w:rsidRPr="00A02BDC">
        <w:rPr>
          <w:color w:val="000000" w:themeColor="text1"/>
        </w:rPr>
        <w:t xml:space="preserve"> 2O9T)</w:t>
      </w:r>
      <w:r w:rsidR="00204BEA" w:rsidRPr="00A02BDC">
        <w:rPr>
          <w:color w:val="000000" w:themeColor="text1"/>
        </w:rPr>
        <w:t xml:space="preserve"> and a detailed view of the glucose binding site</w:t>
      </w:r>
      <w:r w:rsidR="00A12DA4" w:rsidRPr="00A02BDC">
        <w:rPr>
          <w:color w:val="000000" w:themeColor="text1"/>
          <w:lang w:val="en-US"/>
        </w:rPr>
        <w:t xml:space="preserve">. </w:t>
      </w:r>
      <w:r w:rsidR="00204BEA" w:rsidRPr="00A02BDC">
        <w:rPr>
          <w:color w:val="000000" w:themeColor="text1"/>
          <w:lang w:val="en-US"/>
        </w:rPr>
        <w:t>G</w:t>
      </w:r>
      <w:r w:rsidR="00A12DA4" w:rsidRPr="00A02BDC">
        <w:rPr>
          <w:color w:val="000000" w:themeColor="text1"/>
          <w:lang w:val="en-US"/>
        </w:rPr>
        <w:t xml:space="preserve">lucose is shown </w:t>
      </w:r>
      <w:r w:rsidR="00204BEA" w:rsidRPr="00A02BDC">
        <w:rPr>
          <w:color w:val="000000" w:themeColor="text1"/>
          <w:lang w:val="en-US"/>
        </w:rPr>
        <w:t xml:space="preserve">as </w:t>
      </w:r>
      <w:r w:rsidR="00A12DA4" w:rsidRPr="00A02BDC">
        <w:rPr>
          <w:color w:val="000000" w:themeColor="text1"/>
          <w:lang w:val="en-US"/>
        </w:rPr>
        <w:t xml:space="preserve">black sticks. </w:t>
      </w:r>
      <w:r w:rsidR="00A12DA4" w:rsidRPr="00A02BDC">
        <w:rPr>
          <w:i/>
          <w:iCs/>
          <w:color w:val="000000" w:themeColor="text1"/>
          <w:lang w:val="en-US"/>
        </w:rPr>
        <w:t>BglB</w:t>
      </w:r>
      <w:r w:rsidR="00A12DA4" w:rsidRPr="00A02BDC">
        <w:rPr>
          <w:color w:val="000000" w:themeColor="text1"/>
          <w:lang w:val="en-US"/>
        </w:rPr>
        <w:t xml:space="preserve"> residues </w:t>
      </w:r>
      <w:r w:rsidR="00204BEA" w:rsidRPr="00A02BDC">
        <w:rPr>
          <w:color w:val="000000" w:themeColor="text1"/>
          <w:lang w:val="en-US"/>
        </w:rPr>
        <w:t>interacting with the</w:t>
      </w:r>
      <w:r w:rsidR="00A12DA4" w:rsidRPr="00A02BDC">
        <w:rPr>
          <w:color w:val="000000" w:themeColor="text1"/>
          <w:lang w:val="en-US"/>
        </w:rPr>
        <w:t xml:space="preserve"> glucose molecule</w:t>
      </w:r>
      <w:r w:rsidR="00204BEA" w:rsidRPr="00A02BDC">
        <w:rPr>
          <w:color w:val="000000" w:themeColor="text1"/>
          <w:lang w:val="en-US"/>
        </w:rPr>
        <w:t>,</w:t>
      </w:r>
      <w:r w:rsidR="00A12DA4" w:rsidRPr="00A02BDC">
        <w:rPr>
          <w:color w:val="000000" w:themeColor="text1"/>
          <w:lang w:val="en-US"/>
        </w:rPr>
        <w:t xml:space="preserve"> and corresponding </w:t>
      </w:r>
      <w:r w:rsidR="00204BEA" w:rsidRPr="00A02BDC">
        <w:rPr>
          <w:i/>
          <w:iCs/>
          <w:color w:val="000000" w:themeColor="text1"/>
        </w:rPr>
        <w:t>Ahe</w:t>
      </w:r>
      <w:r w:rsidR="00204BEA" w:rsidRPr="00A02BDC">
        <w:rPr>
          <w:color w:val="000000" w:themeColor="text1"/>
        </w:rPr>
        <w:t>GH1</w:t>
      </w:r>
      <w:r w:rsidR="00A12DA4" w:rsidRPr="00A02BDC">
        <w:rPr>
          <w:color w:val="000000" w:themeColor="text1"/>
          <w:lang w:val="en-US"/>
        </w:rPr>
        <w:t xml:space="preserve"> residues</w:t>
      </w:r>
      <w:r w:rsidR="00204BEA" w:rsidRPr="00A02BDC">
        <w:rPr>
          <w:color w:val="000000" w:themeColor="text1"/>
          <w:lang w:val="en-US"/>
        </w:rPr>
        <w:t>,</w:t>
      </w:r>
      <w:r w:rsidR="00A12DA4" w:rsidRPr="00A02BDC">
        <w:rPr>
          <w:color w:val="000000" w:themeColor="text1"/>
          <w:lang w:val="en-US"/>
        </w:rPr>
        <w:t xml:space="preserve"> are depicted as sticks and colored accordingly. </w:t>
      </w:r>
      <w:r w:rsidR="00204BEA" w:rsidRPr="00A02BDC">
        <w:rPr>
          <w:i/>
          <w:iCs/>
          <w:color w:val="000000" w:themeColor="text1"/>
        </w:rPr>
        <w:t>Ahe</w:t>
      </w:r>
      <w:r w:rsidR="00204BEA" w:rsidRPr="00A02BDC">
        <w:rPr>
          <w:color w:val="000000" w:themeColor="text1"/>
        </w:rPr>
        <w:t>GH1</w:t>
      </w:r>
      <w:r w:rsidR="00A12DA4" w:rsidRPr="00A02BDC">
        <w:rPr>
          <w:color w:val="000000" w:themeColor="text1"/>
          <w:lang w:val="en-US"/>
        </w:rPr>
        <w:t xml:space="preserve"> residues conserved in </w:t>
      </w:r>
      <w:r w:rsidR="00A12DA4" w:rsidRPr="00A02BDC">
        <w:rPr>
          <w:i/>
          <w:iCs/>
          <w:color w:val="000000" w:themeColor="text1"/>
          <w:lang w:val="en-US"/>
        </w:rPr>
        <w:t>BglA</w:t>
      </w:r>
      <w:r w:rsidR="00A12DA4" w:rsidRPr="00A02BDC">
        <w:rPr>
          <w:color w:val="000000" w:themeColor="text1"/>
          <w:lang w:val="en-US"/>
        </w:rPr>
        <w:t xml:space="preserve"> are colored in purple. </w:t>
      </w:r>
      <w:r w:rsidR="00204BEA" w:rsidRPr="00A02BDC">
        <w:rPr>
          <w:i/>
          <w:iCs/>
          <w:color w:val="000000" w:themeColor="text1"/>
        </w:rPr>
        <w:t>Ahe</w:t>
      </w:r>
      <w:r w:rsidR="00204BEA" w:rsidRPr="00A02BDC">
        <w:rPr>
          <w:color w:val="000000" w:themeColor="text1"/>
        </w:rPr>
        <w:t>GH1</w:t>
      </w:r>
      <w:r w:rsidR="00A12DA4" w:rsidRPr="00A02BDC">
        <w:rPr>
          <w:color w:val="000000" w:themeColor="text1"/>
          <w:lang w:val="en-US"/>
        </w:rPr>
        <w:t xml:space="preserve"> W329</w:t>
      </w:r>
      <w:r w:rsidR="00204BEA" w:rsidRPr="00A02BDC">
        <w:rPr>
          <w:color w:val="000000" w:themeColor="text1"/>
          <w:lang w:val="en-US"/>
        </w:rPr>
        <w:t>,</w:t>
      </w:r>
      <w:r w:rsidR="00A12DA4" w:rsidRPr="00A02BDC">
        <w:rPr>
          <w:color w:val="000000" w:themeColor="text1"/>
          <w:lang w:val="is-IS"/>
        </w:rPr>
        <w:t xml:space="preserve"> which is conserved in all the three homologues is colored in orange.</w:t>
      </w:r>
      <w:r w:rsidR="00204BEA" w:rsidRPr="00A02BDC">
        <w:rPr>
          <w:color w:val="000000" w:themeColor="text1"/>
          <w:lang w:val="is-IS"/>
        </w:rPr>
        <w:t xml:space="preserve"> </w:t>
      </w:r>
      <w:r w:rsidR="00BA1E0C" w:rsidRPr="00A02BDC">
        <w:rPr>
          <w:color w:val="000000" w:themeColor="text1"/>
          <w:lang w:val="is-IS"/>
        </w:rPr>
        <w:t xml:space="preserve">Residue numbering </w:t>
      </w:r>
      <w:r w:rsidR="00637C9B" w:rsidRPr="00A02BDC">
        <w:rPr>
          <w:color w:val="000000" w:themeColor="text1"/>
          <w:lang w:val="is-IS"/>
        </w:rPr>
        <w:t xml:space="preserve">in all panels </w:t>
      </w:r>
      <w:r w:rsidR="00BA1E0C" w:rsidRPr="00A02BDC">
        <w:rPr>
          <w:color w:val="000000" w:themeColor="text1"/>
          <w:lang w:val="is-IS"/>
        </w:rPr>
        <w:t xml:space="preserve">is for </w:t>
      </w:r>
      <w:r w:rsidR="00BA1E0C" w:rsidRPr="00A02BDC">
        <w:rPr>
          <w:i/>
          <w:iCs/>
          <w:color w:val="000000" w:themeColor="text1"/>
        </w:rPr>
        <w:t>Ahe</w:t>
      </w:r>
      <w:r w:rsidR="00BA1E0C" w:rsidRPr="00A02BDC">
        <w:rPr>
          <w:color w:val="000000" w:themeColor="text1"/>
        </w:rPr>
        <w:t xml:space="preserve">GH1. </w:t>
      </w:r>
      <w:r w:rsidRPr="00A02BDC">
        <w:rPr>
          <w:color w:val="000000" w:themeColor="text1"/>
        </w:rPr>
        <w:t>This figure was made with CCP4mg</w:t>
      </w:r>
      <w:r w:rsidR="00F23FE0" w:rsidRPr="00A02BDC">
        <w:rPr>
          <w:color w:val="000000" w:themeColor="text1"/>
        </w:rPr>
        <w:t>.</w:t>
      </w:r>
      <w:r w:rsidR="003F3256" w:rsidRPr="00A02BDC">
        <w:rPr>
          <w:rStyle w:val="FootnoteReference"/>
          <w:b w:val="0"/>
          <w:bCs w:val="0"/>
          <w:color w:val="000000" w:themeColor="text1"/>
        </w:rPr>
        <w:fldChar w:fldCharType="begin" w:fldLock="1"/>
      </w:r>
      <w:r w:rsidR="00881F49" w:rsidRPr="00A02BDC">
        <w:rPr>
          <w:b w:val="0"/>
          <w:bCs w:val="0"/>
          <w:color w:val="000000" w:themeColor="text1"/>
          <w:vertAlign w:val="superscript"/>
        </w:rPr>
        <w:instrText>ADDIN CSL_CITATION {"citationItems":[{"id":"ITEM-1","itemData":{"DOI":"10.1107/S0907444911007281","ISBN":"0907444911","ISSN":"09074449","abstract":"CCP4mg is a molecular-graphics program that is designed to give rapid access to both straightforward and complex static and dynamic representations of macromolecular structures. It has recently been updated with a new interface that provides more sophisticated atom-selection options and a wizard to facilitate the generation of complex scenes. These scenes may contain a mixture of coordinate-derived and abstract graphical objects, including text objects, arbitrary vectors, geometric objects and imported images, which can enhance a picture and eliminate the need for subsequent editing. Scene descriptions can be saved to file and transferred to other molecules. Here, the substantially enhanced version 2 of the program, with a new underlying GUI toolkit, is described. A built-in rendering module produces publication-quality images.","author":[{"dropping-particle":"","family":"McNicholas","given":"S.","non-dropping-particle":"","parse-names":false,"suffix":""},{"dropping-particle":"","family":"Potterton","given":"E.","non-dropping-particle":"","parse-names":false,"suffix":""},{"dropping-particle":"","family":"Wilson","given":"K. S.","non-dropping-particle":"","parse-names":false,"suffix":""},{"dropping-particle":"","family":"Noble","given":"M. E.M.","non-dropping-particle":"","parse-names":false,"suffix":""}],"container-title":"Acta Crystallographica Section D: Biological Crystallography","id":"ITEM-1","issue":"4","issued":{"date-parts":[["2011"]]},"page":"386-394","publisher":"International Union of Crystallography","title":"Presenting your structures: The CCP4mg molecular-graphics software","type":"article-journal","volume":"67"},"uris":["http://www.mendeley.com/documents/?uuid=f0aa3d36-9a2f-41ac-80fd-df71424f4cb1"]}],"mendeley":{"formattedCitation":"&lt;sup&gt;[30]&lt;/sup&gt;","plainTextFormattedCitation":"[30]","previouslyFormattedCitation":"&lt;sup&gt;[30]&lt;/sup&gt;"},"properties":{"noteIndex":0},"schema":"https://github.com/citation-style-language/schema/raw/master/csl-citation.json"}</w:instrText>
      </w:r>
      <w:r w:rsidR="003F3256" w:rsidRPr="00A02BDC">
        <w:rPr>
          <w:rStyle w:val="FootnoteReference"/>
          <w:b w:val="0"/>
          <w:bCs w:val="0"/>
          <w:color w:val="000000" w:themeColor="text1"/>
        </w:rPr>
        <w:fldChar w:fldCharType="separate"/>
      </w:r>
      <w:r w:rsidR="00881F49" w:rsidRPr="00A02BDC">
        <w:rPr>
          <w:b w:val="0"/>
          <w:noProof/>
          <w:color w:val="000000" w:themeColor="text1"/>
          <w:vertAlign w:val="superscript"/>
          <w:lang w:val="en-US"/>
        </w:rPr>
        <w:t>[30]</w:t>
      </w:r>
      <w:r w:rsidR="003F3256" w:rsidRPr="00A02BDC">
        <w:rPr>
          <w:rStyle w:val="FootnoteReference"/>
          <w:b w:val="0"/>
          <w:bCs w:val="0"/>
          <w:color w:val="000000" w:themeColor="text1"/>
        </w:rPr>
        <w:fldChar w:fldCharType="end"/>
      </w:r>
    </w:p>
    <w:p w14:paraId="55899BEE" w14:textId="77777777" w:rsidR="0017089A" w:rsidRPr="00A02BDC" w:rsidRDefault="0017089A" w:rsidP="00750A9C">
      <w:pPr>
        <w:pStyle w:val="Heading2"/>
        <w:numPr>
          <w:ilvl w:val="0"/>
          <w:numId w:val="0"/>
        </w:numPr>
        <w:ind w:left="576" w:hanging="576"/>
        <w:rPr>
          <w:lang w:val="en-AU"/>
        </w:rPr>
      </w:pPr>
      <w:r w:rsidRPr="00A02BDC">
        <w:rPr>
          <w:lang w:val="en-AU"/>
        </w:rPr>
        <w:t>Activity assay and kinetic parameters</w:t>
      </w:r>
    </w:p>
    <w:p w14:paraId="3E64A395" w14:textId="5C0D89E6" w:rsidR="00B07395" w:rsidRPr="00A02BDC" w:rsidRDefault="0017089A" w:rsidP="0017089A">
      <w:pPr>
        <w:jc w:val="both"/>
        <w:rPr>
          <w:lang w:val="en-AU"/>
        </w:rPr>
      </w:pPr>
      <w:r w:rsidRPr="00A02BDC">
        <w:rPr>
          <w:lang w:val="en-AU"/>
        </w:rPr>
        <w:t>The activity assay was performed</w:t>
      </w:r>
      <w:r w:rsidR="00D649B2" w:rsidRPr="00A02BDC">
        <w:rPr>
          <w:rFonts w:cs="Times New Roman"/>
        </w:rPr>
        <w:t xml:space="preserve"> </w:t>
      </w:r>
      <w:r w:rsidR="00D649B2" w:rsidRPr="00A02BDC">
        <w:t xml:space="preserve">spectrophotometrically using </w:t>
      </w:r>
      <w:r w:rsidR="00D649B2" w:rsidRPr="00A02BDC">
        <w:rPr>
          <w:i/>
        </w:rPr>
        <w:t>p</w:t>
      </w:r>
      <w:r w:rsidR="00D649B2" w:rsidRPr="00A02BDC">
        <w:t>-nitrophenyl-</w:t>
      </w:r>
      <w:r w:rsidR="00D649B2" w:rsidRPr="00A02BDC">
        <w:rPr>
          <w:rFonts w:cs="Times New Roman"/>
        </w:rPr>
        <w:t>β</w:t>
      </w:r>
      <w:r w:rsidR="00D649B2" w:rsidRPr="00A02BDC">
        <w:t>-</w:t>
      </w:r>
      <w:r w:rsidR="00D649B2" w:rsidRPr="00A02BDC">
        <w:rPr>
          <w:sz w:val="22"/>
          <w:szCs w:val="20"/>
        </w:rPr>
        <w:t>D</w:t>
      </w:r>
      <w:r w:rsidR="00D649B2" w:rsidRPr="00A02BDC">
        <w:t>-glucopyranoside (</w:t>
      </w:r>
      <w:r w:rsidR="00D649B2" w:rsidRPr="00A02BDC">
        <w:rPr>
          <w:i/>
          <w:iCs/>
        </w:rPr>
        <w:t>p</w:t>
      </w:r>
      <w:r w:rsidR="00D649B2" w:rsidRPr="00A02BDC">
        <w:t xml:space="preserve">NPG) at 25 </w:t>
      </w:r>
      <w:r w:rsidR="00D649B2" w:rsidRPr="00A02BDC">
        <w:rPr>
          <w:rFonts w:cs="Times New Roman"/>
        </w:rPr>
        <w:t>º</w:t>
      </w:r>
      <w:r w:rsidR="00D649B2" w:rsidRPr="00A02BDC">
        <w:t xml:space="preserve">C. 10 µL of the suitable dilution of the enzyme was added to a 96-well plate </w:t>
      </w:r>
      <w:r w:rsidR="0008075F" w:rsidRPr="00A02BDC">
        <w:t>in</w:t>
      </w:r>
      <w:r w:rsidR="00D649B2" w:rsidRPr="00A02BDC">
        <w:t xml:space="preserve"> triplicate together with 0.29 mL of the reaction solution </w:t>
      </w:r>
      <w:r w:rsidR="00D649B2" w:rsidRPr="00A02BDC">
        <w:rPr>
          <w:i/>
          <w:iCs/>
        </w:rPr>
        <w:t>p</w:t>
      </w:r>
      <w:r w:rsidR="00D649B2" w:rsidRPr="00A02BDC">
        <w:t xml:space="preserve">NPG (10 mM), HEPES (50 mM), pH 7.4. The </w:t>
      </w:r>
      <w:r w:rsidR="00D649B2" w:rsidRPr="00A02BDC">
        <w:rPr>
          <w:i/>
          <w:iCs/>
        </w:rPr>
        <w:t>p</w:t>
      </w:r>
      <w:r w:rsidR="00D649B2" w:rsidRPr="00A02BDC">
        <w:t xml:space="preserve">-nitrophenol formation was followed for 10 minutes at 420 nm. </w:t>
      </w:r>
      <w:r w:rsidRPr="00A02BDC">
        <w:rPr>
          <w:lang w:val="en-AU"/>
        </w:rPr>
        <w:t xml:space="preserve"> </w:t>
      </w:r>
      <w:r w:rsidR="00D649B2" w:rsidRPr="00A02BDC">
        <w:rPr>
          <w:lang w:val="en-AU"/>
        </w:rPr>
        <w:t xml:space="preserve">The enzyme showed a </w:t>
      </w:r>
      <w:r w:rsidRPr="00A02BDC">
        <w:rPr>
          <w:lang w:val="en-AU"/>
        </w:rPr>
        <w:t xml:space="preserve">specific activity </w:t>
      </w:r>
      <w:r w:rsidRPr="00A02BDC">
        <w:rPr>
          <w:lang w:val="en-AU"/>
        </w:rPr>
        <w:lastRenderedPageBreak/>
        <w:t xml:space="preserve">of </w:t>
      </w:r>
      <w:r w:rsidR="007F1872" w:rsidRPr="00A02BDC">
        <w:rPr>
          <w:lang w:val="en-AU"/>
        </w:rPr>
        <w:t>20</w:t>
      </w:r>
      <w:r w:rsidRPr="00A02BDC">
        <w:rPr>
          <w:lang w:val="en-AU"/>
        </w:rPr>
        <w:t xml:space="preserve"> U/mg.</w:t>
      </w:r>
      <w:r w:rsidR="00B07395" w:rsidRPr="00A02BDC">
        <w:rPr>
          <w:lang w:val="en-AU"/>
        </w:rPr>
        <w:t xml:space="preserve"> </w:t>
      </w:r>
      <w:r w:rsidR="00B07395" w:rsidRPr="00A02BDC">
        <w:rPr>
          <w:i/>
          <w:iCs/>
          <w:lang w:val="en-AU"/>
        </w:rPr>
        <w:t>Ahe</w:t>
      </w:r>
      <w:r w:rsidR="00B07395" w:rsidRPr="00A02BDC">
        <w:rPr>
          <w:lang w:val="en-AU"/>
        </w:rPr>
        <w:t xml:space="preserve">GH1 also showed activity with </w:t>
      </w:r>
      <w:r w:rsidR="00B07395" w:rsidRPr="00A02BDC">
        <w:rPr>
          <w:i/>
        </w:rPr>
        <w:t>p</w:t>
      </w:r>
      <w:r w:rsidR="00B07395" w:rsidRPr="00A02BDC">
        <w:t>-nitrophenyl-</w:t>
      </w:r>
      <w:r w:rsidR="00B07395" w:rsidRPr="00A02BDC">
        <w:rPr>
          <w:rFonts w:cs="Times New Roman"/>
        </w:rPr>
        <w:t>β</w:t>
      </w:r>
      <w:r w:rsidR="00B07395" w:rsidRPr="00A02BDC">
        <w:t>-</w:t>
      </w:r>
      <w:r w:rsidR="00B07395" w:rsidRPr="00A02BDC">
        <w:rPr>
          <w:sz w:val="22"/>
          <w:szCs w:val="20"/>
        </w:rPr>
        <w:t>D</w:t>
      </w:r>
      <w:r w:rsidR="00B07395" w:rsidRPr="00A02BDC">
        <w:t xml:space="preserve">-fucopyranoside, -galactopyranoside, and -xylopyranoside. While the activity with the </w:t>
      </w:r>
      <w:r w:rsidR="00CF55CA" w:rsidRPr="00A02BDC">
        <w:t>fucoside</w:t>
      </w:r>
      <w:r w:rsidR="00B07395" w:rsidRPr="00A02BDC">
        <w:t xml:space="preserve"> was unchanged, it was reduced by approx. 30% for the </w:t>
      </w:r>
      <w:r w:rsidR="00CF55CA" w:rsidRPr="00A02BDC">
        <w:t xml:space="preserve">galactoside </w:t>
      </w:r>
      <w:r w:rsidR="00B07395" w:rsidRPr="00A02BDC">
        <w:t xml:space="preserve">and 98% for the xyloside (Fig. 4A). </w:t>
      </w:r>
    </w:p>
    <w:p w14:paraId="16CF6B5E" w14:textId="7A15C3ED" w:rsidR="0017089A" w:rsidRPr="00A02BDC" w:rsidRDefault="0017089A" w:rsidP="0017089A">
      <w:pPr>
        <w:jc w:val="both"/>
        <w:rPr>
          <w:lang w:val="en-AU"/>
        </w:rPr>
      </w:pPr>
      <w:r w:rsidRPr="00A02BDC">
        <w:rPr>
          <w:lang w:val="en-AU"/>
        </w:rPr>
        <w:t xml:space="preserve">The kinetic parameters of </w:t>
      </w:r>
      <w:r w:rsidR="00B07395" w:rsidRPr="00A02BDC">
        <w:rPr>
          <w:i/>
          <w:iCs/>
          <w:lang w:val="en-AU"/>
        </w:rPr>
        <w:t>Ahe</w:t>
      </w:r>
      <w:r w:rsidR="00B07395" w:rsidRPr="00A02BDC">
        <w:rPr>
          <w:lang w:val="en-AU"/>
        </w:rPr>
        <w:t>GH1 for pNPG</w:t>
      </w:r>
      <w:r w:rsidRPr="00A02BDC">
        <w:rPr>
          <w:lang w:val="en-AU"/>
        </w:rPr>
        <w:t xml:space="preserve"> </w:t>
      </w:r>
      <w:r w:rsidRPr="00A02BDC">
        <w:t xml:space="preserve">were determined  under </w:t>
      </w:r>
      <w:r w:rsidR="00D649B2" w:rsidRPr="00A02BDC">
        <w:t>the same conditions of the activity assay but using different substrate concentrations.</w:t>
      </w:r>
      <w:r w:rsidR="003F3256" w:rsidRPr="00A02BDC">
        <w:rPr>
          <w:rStyle w:val="FootnoteReference"/>
        </w:rPr>
        <w:fldChar w:fldCharType="begin" w:fldLock="1"/>
      </w:r>
      <w:r w:rsidR="00881F49" w:rsidRPr="00A02BDC">
        <w:rPr>
          <w:vertAlign w:val="superscript"/>
        </w:rPr>
        <w:instrText>ADDIN CSL_CITATION {"citationItems":[{"id":"ITEM-1","itemData":{"DOI":"10.1002/0471220639","ISBN":"0471359297","ISSN":"00032697","author":[{"dropping-particle":"","family":"Copeland","given":"Robert A.","non-dropping-particle":"","parse-names":false,"suffix":""}],"edition":"2nd","id":"ITEM-1","issued":{"date-parts":[["2000"]]},"publisher":"Wiley-VCH, Inc.","publisher-place":"New York","title":"Enzymes. A Practical Introduction to Structure, Mechanism, and Data Analysis","type":"book"},"uris":["http://www.mendeley.com/documents/?uuid=bd52f411-d4c8-43d4-a3c1-b1eacea561ef"]}],"mendeley":{"formattedCitation":"&lt;sup&gt;[31]&lt;/sup&gt;","plainTextFormattedCitation":"[31]","previouslyFormattedCitation":"&lt;sup&gt;[31]&lt;/sup&gt;"},"properties":{"noteIndex":0},"schema":"https://github.com/citation-style-language/schema/raw/master/csl-citation.json"}</w:instrText>
      </w:r>
      <w:r w:rsidR="003F3256" w:rsidRPr="00A02BDC">
        <w:rPr>
          <w:rStyle w:val="FootnoteReference"/>
        </w:rPr>
        <w:fldChar w:fldCharType="separate"/>
      </w:r>
      <w:r w:rsidR="00881F49" w:rsidRPr="00A02BDC">
        <w:rPr>
          <w:noProof/>
          <w:vertAlign w:val="superscript"/>
        </w:rPr>
        <w:t>[31]</w:t>
      </w:r>
      <w:r w:rsidR="003F3256" w:rsidRPr="00A02BDC">
        <w:rPr>
          <w:rStyle w:val="FootnoteReference"/>
        </w:rPr>
        <w:fldChar w:fldCharType="end"/>
      </w:r>
      <w:r w:rsidRPr="00A02BDC">
        <w:t xml:space="preserve"> </w:t>
      </w:r>
      <w:r w:rsidRPr="00A02BDC">
        <w:rPr>
          <w:i/>
          <w:iCs/>
        </w:rPr>
        <w:t>K</w:t>
      </w:r>
      <w:r w:rsidRPr="00A02BDC">
        <w:rPr>
          <w:i/>
          <w:iCs/>
          <w:vertAlign w:val="subscript"/>
        </w:rPr>
        <w:t>m</w:t>
      </w:r>
      <w:r w:rsidRPr="00A02BDC">
        <w:rPr>
          <w:i/>
          <w:iCs/>
        </w:rPr>
        <w:t xml:space="preserve"> </w:t>
      </w:r>
      <w:r w:rsidRPr="00A02BDC">
        <w:t>(1.4</w:t>
      </w:r>
      <w:r w:rsidR="009E2537" w:rsidRPr="00A02BDC">
        <w:t xml:space="preserve"> ± 0.1</w:t>
      </w:r>
      <w:r w:rsidRPr="00A02BDC">
        <w:t xml:space="preserve"> mM), </w:t>
      </w:r>
      <w:r w:rsidRPr="00A02BDC">
        <w:rPr>
          <w:i/>
          <w:iCs/>
        </w:rPr>
        <w:t>K</w:t>
      </w:r>
      <w:r w:rsidRPr="00A02BDC">
        <w:rPr>
          <w:i/>
          <w:iCs/>
          <w:vertAlign w:val="subscript"/>
        </w:rPr>
        <w:t>i</w:t>
      </w:r>
      <w:r w:rsidRPr="00A02BDC">
        <w:t xml:space="preserve"> (37</w:t>
      </w:r>
      <w:r w:rsidR="009E2537" w:rsidRPr="00A02BDC">
        <w:t xml:space="preserve"> ± 6 </w:t>
      </w:r>
      <w:r w:rsidRPr="00A02BDC">
        <w:t xml:space="preserve"> mM) and </w:t>
      </w:r>
      <w:r w:rsidR="009E2537" w:rsidRPr="00A02BDC">
        <w:rPr>
          <w:i/>
          <w:iCs/>
        </w:rPr>
        <w:t>k</w:t>
      </w:r>
      <w:r w:rsidR="009E2537" w:rsidRPr="00A02BDC">
        <w:rPr>
          <w:i/>
          <w:iCs/>
          <w:vertAlign w:val="subscript"/>
        </w:rPr>
        <w:t>cat</w:t>
      </w:r>
      <w:r w:rsidR="009E2537" w:rsidRPr="00A02BDC">
        <w:rPr>
          <w:i/>
          <w:iCs/>
        </w:rPr>
        <w:t xml:space="preserve"> </w:t>
      </w:r>
      <w:r w:rsidRPr="00A02BDC">
        <w:t>(</w:t>
      </w:r>
      <w:r w:rsidR="009E2537" w:rsidRPr="00A02BDC">
        <w:t>2.7 ± 0.1 s</w:t>
      </w:r>
      <w:r w:rsidR="009E2537" w:rsidRPr="00A02BDC">
        <w:rPr>
          <w:vertAlign w:val="superscript"/>
        </w:rPr>
        <w:t>-1</w:t>
      </w:r>
      <w:r w:rsidRPr="00A02BDC">
        <w:t>) were calculated in triplicate by nonlinear regression</w:t>
      </w:r>
      <w:r w:rsidR="00D649B2" w:rsidRPr="00A02BDC">
        <w:t xml:space="preserve"> using GraphPad Prism 8</w:t>
      </w:r>
      <w:r w:rsidRPr="00A02BDC">
        <w:t xml:space="preserve"> (Fig. </w:t>
      </w:r>
      <w:r w:rsidR="00B07395" w:rsidRPr="00A02BDC">
        <w:t>4B</w:t>
      </w:r>
      <w:r w:rsidR="00A71D8B" w:rsidRPr="00A02BDC">
        <w:t>; see method section for details</w:t>
      </w:r>
      <w:r w:rsidRPr="00A02BDC">
        <w:t>)</w:t>
      </w:r>
      <w:r w:rsidRPr="00A02BDC">
        <w:rPr>
          <w:lang w:val="en-AU"/>
        </w:rPr>
        <w:t>.</w:t>
      </w:r>
    </w:p>
    <w:p w14:paraId="2E56C1A7" w14:textId="77777777" w:rsidR="0017089A" w:rsidRPr="00A02BDC" w:rsidRDefault="0017089A" w:rsidP="00750A9C">
      <w:pPr>
        <w:pStyle w:val="Heading2"/>
        <w:numPr>
          <w:ilvl w:val="0"/>
          <w:numId w:val="0"/>
        </w:numPr>
        <w:ind w:left="576" w:hanging="576"/>
      </w:pPr>
      <w:r w:rsidRPr="00A02BDC">
        <w:t>Enzymatic characterization</w:t>
      </w:r>
    </w:p>
    <w:p w14:paraId="514FE89A" w14:textId="77777777" w:rsidR="0017089A" w:rsidRPr="00A02BDC" w:rsidRDefault="0017089A" w:rsidP="0017089A">
      <w:pPr>
        <w:jc w:val="both"/>
      </w:pPr>
      <w:r w:rsidRPr="00A02BDC">
        <w:t xml:space="preserve">A thorough characterization of this novel enzyme was performed, to probe the activity and stability in the presence of sugars, solvents, different pH values and different temperatures. </w:t>
      </w:r>
    </w:p>
    <w:p w14:paraId="019B39FC" w14:textId="77777777" w:rsidR="0017089A" w:rsidRPr="00A02BDC" w:rsidRDefault="0017089A" w:rsidP="00750A9C">
      <w:pPr>
        <w:pStyle w:val="Heading3"/>
        <w:numPr>
          <w:ilvl w:val="0"/>
          <w:numId w:val="0"/>
        </w:numPr>
        <w:ind w:left="720" w:hanging="720"/>
      </w:pPr>
      <w:r w:rsidRPr="00A02BDC">
        <w:t>Activity assays</w:t>
      </w:r>
    </w:p>
    <w:p w14:paraId="3B0C2A73" w14:textId="77777777" w:rsidR="0017089A" w:rsidRPr="00A02BDC" w:rsidRDefault="0017089A" w:rsidP="0017089A">
      <w:r w:rsidRPr="00A02BDC">
        <w:t xml:space="preserve">The effect of glucose, fructose and a different range of co-solvents is reported in Fig. 4. </w:t>
      </w:r>
    </w:p>
    <w:p w14:paraId="158F5850" w14:textId="6BA515B4" w:rsidR="000F1722" w:rsidRPr="00A02BDC" w:rsidRDefault="0017089A" w:rsidP="0017089A">
      <w:pPr>
        <w:spacing w:after="200"/>
        <w:jc w:val="both"/>
        <w:rPr>
          <w:szCs w:val="24"/>
        </w:rPr>
      </w:pPr>
      <w:r w:rsidRPr="00A02BDC">
        <w:t xml:space="preserve">Glucose inhibition (Fig. </w:t>
      </w:r>
      <w:r w:rsidR="00B07395" w:rsidRPr="00A02BDC">
        <w:t>4C</w:t>
      </w:r>
      <w:r w:rsidRPr="00A02BDC">
        <w:t xml:space="preserve">) is a common problem among </w:t>
      </w:r>
      <w:r w:rsidR="00D63BAF" w:rsidRPr="00A02BDC">
        <w:rPr>
          <w:rFonts w:cs="Times New Roman"/>
        </w:rPr>
        <w:t>β</w:t>
      </w:r>
      <w:r w:rsidR="00D63BAF" w:rsidRPr="00A02BDC">
        <w:t>-glucosidases</w:t>
      </w:r>
      <w:r w:rsidR="008760EC" w:rsidRPr="00A02BDC">
        <w:t>,</w:t>
      </w:r>
      <w:r w:rsidR="003F3256" w:rsidRPr="00A02BDC">
        <w:rPr>
          <w:rStyle w:val="FootnoteReference"/>
        </w:rPr>
        <w:fldChar w:fldCharType="begin" w:fldLock="1"/>
      </w:r>
      <w:r w:rsidR="00881F49" w:rsidRPr="00A02BDC">
        <w:rPr>
          <w:vertAlign w:val="superscript"/>
        </w:rPr>
        <w:instrText>ADDIN CSL_CITATION {"citationItems":[{"id":"ITEM-1","itemData":{"DOI":"10.1016/j.jsb.2017.02.001","ISSN":"10958657","abstract":"Cellulose can be converted to ethanol via the fermentation of glucose, which is considered as a promising green alternative for transportation fuels. The conversion of cellulose to glucose needs three enzymes, in which β-glucosidase (BGL) plays an essential role. However, BGL is inhibited by its own product glucose, greatly limiting its applications in industry. We previously obtained a novel BGL named Bgl6 with a high glucose tolerance. Further engineering through random mutagenesis produced a triple mutant M3 with improved thermostability. This enzyme shows promising properties for wide applications but the structural basis of the unusual properties of Bgl6 is not clear. In this study, we determined the crystal structures of Bgl6 and variants at high resolution, which provide insights into its glucose-tolerant mechanism and thermostability. Particularly, Bgl6 forms an extra channel that could be used as a secondary binding site for glucose, which may contribute to glucose tolerance. Additionally, the triple mutations could strengthen the hydrophobic interactions within the enzyme and may be responsible for the enhanced thermostability exhibited by M3, which was further confirmed by dynamic light scattering data. Lastly, structural comparison to other orthologs allows us to formulate new strategies on how to improve the catalytic efficiency of Bgl6.","author":[{"dropping-particle":"","family":"Pang","given":"Panjiao","non-dropping-particle":"","parse-names":false,"suffix":""},{"dropping-particle":"","family":"Cao","given":"Li chuang","non-dropping-particle":"","parse-names":false,"suffix":""},{"dropping-particle":"","family":"Liu","given":"Yu huan","non-dropping-particle":"","parse-names":false,"suffix":""},{"dropping-particle":"","family":"Xie","given":"Wei","non-dropping-particle":"","parse-names":false,"suffix":""},{"dropping-particle":"","family":"Wang","given":"Zhong","non-dropping-particle":"","parse-names":false,"suffix":""}],"container-title":"Journal of Structural Biology","id":"ITEM-1","issue":"3","issued":{"date-parts":[["2017"]]},"page":"154-162","publisher":"Elsevier Inc.","title":"Structures of a glucose-tolerant β-glucosidase provide insights into its mechanism","type":"article-journal","volume":"198"},"uris":["http://www.mendeley.com/documents/?uuid=fad3ef9c-9029-47f8-8418-df021eca963a"]},{"id":"ITEM-2","itemData":{"DOI":"10.1186/s13068-016-0587-x","ISBN":"1306801605","ISSN":"1754-6834","abstract":"© 2016 The Author(s).Background: In general, biofuel production involves biomass pretreatment and enzymatic saccharification, followed by the subsequent sugar conversion to biofuel via fermentation. The crucial step in the production of biofuel from biomass is the enzymatic saccharification. Many of the commercial cellulase enzyme cocktails, such as Spezyme® CP (Genencor), Acellerase™ 1000 (Genencor), and Celluclast® 1.5L (Novozymes), are ineffectively to release free glucose from the pretreated biomass without additional β-glucosidase. Results: In this study, for the first time, a β-glucosidase DT-Bgl gene (1359 bp) was identified in the genome of Anoxybacillus sp. DT3-1, and cloned and heterologously expressed in Escherichia coli BL21. Phylogenetic analysis indicated that DT-Bgl belonged to glycosyl hydrolase (GH) family 1. The recombinant DT-Bgl was highly active on cello-oligosaccharides and p-nitrophenyl-β-d-glucopyranoside (pNPG). The DT-Bgl was purified using an Ni-NTA column, with molecular mass of 53 kDa using an SDS-PAGE analysis. It exhibited optimum activity at 70 °C and pH 8.5, and did not require any tested co-factors for activation. The K m and V max values for DT-Bgl were 0.22 mM and 923.7 U/mg, respectively, with pNPG as substrate. The DT-Bgl displayed high glucose tolerance, and retained 93 % activity in the presence of 10 M glucose. Conclusions: Anoxybacillus DT-Bgl is a novel thermostable β-glucosidase with low glucose inhibition, and converts long-chain cellodextrins to cellobiose, and further hydrolyse cellobiose to glucose. Results suggest that DT-Bgl could be useful in the development of a bioprocess for the efficient saccharification of lignocellulosic biomass.","author":[{"dropping-particle":"","family":"Chan","given":"Chia Sing","non-dropping-particle":"","parse-names":false,"suffix":""},{"dropping-particle":"","family":"Sin","given":"Lee Li","non-dropping-particle":"","parse-names":false,"suffix":""},{"dropping-particle":"","family":"Chan","given":"Kok-Gan","non-dropping-particle":"","parse-names":false,"suffix":""},{"dropping-particle":"","family":"Shamsir","given":"Mohd Shahir","non-dropping-particle":"","parse-names":false,"suffix":""},{"dropping-particle":"","family":"Manan","given":"Fazilah Abd","non-dropping-particle":"","parse-names":false,"suffix":""},{"dropping-particle":"","family":"Sani","given":"Rajesh Kumar","non-dropping-particle":"","parse-names":false,"suffix":""},{"dropping-particle":"","family":"Goh","given":"Kian Mau","non-dropping-particle":"","parse-names":false,"suffix":""}],"container-title":"Biotechnology for Biofuels","id":"ITEM-2","issue":"1","issued":{"date-parts":[["2016"]]},"page":"174","publisher":"BioMed Central","title":"Characterization of a glucose-tolerant β-glucosidase from Anoxybacillus sp. DT3-1","type":"article-journal","volume":"9"},"uris":["http://www.mendeley.com/documents/?uuid=8a3c4a5e-c29a-467d-b68d-cfb494c0ef9a"]}],"mendeley":{"formattedCitation":"&lt;sup&gt;[21,32]&lt;/sup&gt;","plainTextFormattedCitation":"[21,32]","previouslyFormattedCitation":"&lt;sup&gt;[21,32]&lt;/sup&gt;"},"properties":{"noteIndex":0},"schema":"https://github.com/citation-style-language/schema/raw/master/csl-citation.json"}</w:instrText>
      </w:r>
      <w:r w:rsidR="003F3256" w:rsidRPr="00A02BDC">
        <w:rPr>
          <w:rStyle w:val="FootnoteReference"/>
        </w:rPr>
        <w:fldChar w:fldCharType="separate"/>
      </w:r>
      <w:r w:rsidR="00881F49" w:rsidRPr="00A02BDC">
        <w:rPr>
          <w:noProof/>
          <w:vertAlign w:val="superscript"/>
        </w:rPr>
        <w:t>[21,32]</w:t>
      </w:r>
      <w:r w:rsidR="003F3256" w:rsidRPr="00A02BDC">
        <w:rPr>
          <w:rStyle w:val="FootnoteReference"/>
        </w:rPr>
        <w:fldChar w:fldCharType="end"/>
      </w:r>
      <w:r w:rsidRPr="00A02BDC">
        <w:t xml:space="preserve"> </w:t>
      </w:r>
      <w:r w:rsidRPr="00A02BDC">
        <w:rPr>
          <w:szCs w:val="24"/>
        </w:rPr>
        <w:t>as the accumulation of the product of the hydrolytic process naturally reduces the catalytic efficien</w:t>
      </w:r>
      <w:r w:rsidR="001F19A6" w:rsidRPr="00A02BDC">
        <w:rPr>
          <w:szCs w:val="24"/>
        </w:rPr>
        <w:t>cy</w:t>
      </w:r>
      <w:r w:rsidRPr="00A02BDC">
        <w:rPr>
          <w:szCs w:val="24"/>
        </w:rPr>
        <w:t xml:space="preserve"> of the enzyme. </w:t>
      </w:r>
      <w:r w:rsidR="00D63BAF" w:rsidRPr="00A02BDC">
        <w:rPr>
          <w:szCs w:val="24"/>
        </w:rPr>
        <w:t>However, it has been reported that some β-glucosidases belonging to the family GH1 can be exceptionally tolerant or even stimulated by glucose, but the mechanism of that tolerance/stimulation is still not clear.</w:t>
      </w:r>
      <w:r w:rsidR="00B3626B" w:rsidRPr="00A02BDC">
        <w:rPr>
          <w:szCs w:val="24"/>
        </w:rPr>
        <w:fldChar w:fldCharType="begin" w:fldLock="1"/>
      </w:r>
      <w:r w:rsidR="00881F49" w:rsidRPr="00A02BDC">
        <w:rPr>
          <w:szCs w:val="24"/>
        </w:rPr>
        <w:instrText>ADDIN CSL_CITATION {"citationItems":[{"id":"ITEM-1","itemData":{"DOI":"10.3390/molecules24183215","ISSN":"14203049","PMID":"31487855","abstract":"β-Glucosidases are enzymes with high importance for many industrial processes, catalyzing the last and limiting step of the conversion of lignocellulosic material into fermentable sugars for biofuel production. However, β-glucosidases are inhibited by high concentrations of the product (glucose), which limits the biofuel production on an industrial scale. For this reason, the structural mechanisms of tolerance to product inhibition have been the target of several studies. In this study, we performed in silico experiments, such as molecular dynamics (MD) simulations, free energy landscape (FEL) estimate, Poisson–Boltzmann surface area (PBSA), and grid inhomogeneous solvation theory (GIST) seeking a better understanding of the glucose tolerance and inhibition mechanisms of a representative GH1 β-glucosidase and a GH3 one. Our results suggest that the hydrophobic residues Y180, W350, and F349, as well the polar one D238 act in a mechanism for glucose releasing, herein called “slingshot mechanism”, dependent also on an allosteric channel (AC). In addition, water activity modulation and the protein loop motions suggest that GH1 β-Glucosidases present an active site more adapted to glucose withdrawal than GH3, in consonance with the GH1s lower product inhibition. The results presented here provide directions on the understanding of the molecular mechanisms governing inhibition and tolerance to the product in β-glucosidases and can be useful for the rational design of optimized enzymes for industrial interests.","author":[{"dropping-particle":"","family":"Costa","given":"Leon Sulfierry Corrêa","non-dropping-particle":"","parse-names":false,"suffix":""},{"dropping-particle":"","family":"Mariano","given":"Diego César Batista","non-dropping-particle":"","parse-names":false,"suffix":""},{"dropping-particle":"","family":"Rocha","given":"Rafael Eduardo Oliveira","non-dropping-particle":"","parse-names":false,"suffix":""},{"dropping-particle":"","family":"Kraml","given":"Johannes","non-dropping-particle":"","parse-names":false,"suffix":""},{"dropping-particle":"","family":"Silveira","given":"Carlos Henrique","non-dropping-particle":"da","parse-names":false,"suffix":""},{"dropping-particle":"","family":"Liedl","given":"Klaus Roman","non-dropping-particle":"","parse-names":false,"suffix":""},{"dropping-particle":"","family":"Melo-Minardi","given":"Raquel Cardoso","non-dropping-particle":"De","parse-names":false,"suffix":""},{"dropping-particle":"","family":"Lima","given":"Leonardo Henrique Franca","non-dropping-particle":"De","parse-names":false,"suffix":""}],"container-title":"Molecules","id":"ITEM-1","issue":"18","issued":{"date-parts":[["2019"]]},"title":"Molecular dynamics gives new insights into the glucose tolerance and inhibition mechanisms on β-glucosidases","type":"article-journal","volume":"24"},"uris":["http://www.mendeley.com/documents/?uuid=71d9108e-47e7-4a86-9d2d-b2a5ba41f797","http://www.mendeley.com/documents/?uuid=f7962ffe-4858-4e1d-84c3-d3d96ff61177"]},{"id":"ITEM-2","itemData":{"DOI":"10.1007/s10295-018-2040-6","ISSN":"14765535","abstract":"In the feed industry, β-glucosidase has been widely used in the conversion of inactive and bounded soybean isoflavones into active aglycones. However, the conversion is frequently inhibited by the high concentration of intestinal glucose in monogastric animals. In this study, a GH1 β-glucosidase (AsBG1) with high specific activity, thermostability and glucose tolerance (IC 50 = 800 mM) was identified. It showed great glucose tolerance against substrates with hydrophobic aryl ligands (such as pNPG and soy isoflavones). Using soybean meal as the substrate, AsBG1 exhibited higher hydrolysis efficiency than the GH3 counterpart Bgl3A with or without the presence of glucose in the reaction system. Furthermore, it is the first time to find that the endogenous β-glucosidase of soybean meal, mostly belonging to GH3, plays a role in the hydrolysis of soybean isoflavones and is highly sensitive to glucose. These findings lead to a conclusion that the GH1 rather than GH3 β-glucosidase has prosperous application advantages in the conversion of soybean isoflavones in the feed industry.","author":[{"dropping-particle":"","family":"Cao","given":"Huifang","non-dropping-particle":"","parse-names":false,"suffix":""},{"dropping-particle":"","family":"Zhang","given":"Yueqi","non-dropping-particle":"","parse-names":false,"suffix":""},{"dropping-particle":"","family":"Shi","given":"Pengjun","non-dropping-particle":"","parse-names":false,"suffix":""},{"dropping-particle":"","family":"Ma","given":"Rui","non-dropping-particle":"","parse-names":false,"suffix":""},{"dropping-particle":"","family":"Yang","given":"Hong","non-dropping-particle":"","parse-names":false,"suffix":""},{"dropping-particle":"","family":"Xia","given":"Wei","non-dropping-particle":"","parse-names":false,"suffix":""},{"dropping-particle":"","family":"Cui","given":"Ying","non-dropping-particle":"","parse-names":false,"suffix":""},{"dropping-particle":"","family":"Luo","given":"Huiying","non-dropping-particle":"","parse-names":false,"suffix":""},{"dropping-particle":"","family":"Bai","given":"Yingguo","non-dropping-particle":"","parse-names":false,"suffix":""},{"dropping-particle":"","family":"Yao","given":"Bin","non-dropping-particle":"","parse-names":false,"suffix":""}],"container-title":"Journal of Industrial Microbiology and Biotechnology","id":"ITEM-2","issue":"6","issued":{"date-parts":[["2018"]]},"page":"369-378","title":"A highly glucose-tolerant GH1 β-glucosidase with greater conversion rate of soybean isoflavones in monogastric animals","type":"article-journal","volume":"45"},"uris":["http://www.mendeley.com/documents/?uuid=45161daa-7205-4db3-bd9a-4f06653fbd57","http://www.mendeley.com/documents/?uuid=111ea576-ca29-474e-835d-bdcda311ae11","http://www.mendeley.com/documents/?uuid=1a6a5829-1e84-414d-a9c6-0216c3d2f373"]},{"id":"ITEM-3","itemData":{"DOI":"10.1038/srep17296","ISSN":"2045-2322","author":[{"dropping-particle":"","family":"Yang","given":"Yang","non-dropping-particle":"","parse-names":false,"suffix":""},{"dropping-particle":"","family":"Zhang","given":"Xinxin","non-dropping-particle":"","parse-names":false,"suffix":""},{"dropping-particle":"","family":"Yin","given":"Qiang","non-dropping-particle":"","parse-names":false,"suffix":""},{"dropping-particle":"","family":"Fang","given":"Wei","non-dropping-particle":"","parse-names":false,"suffix":""},{"dropping-particle":"","family":"Fang","given":"Zemin","non-dropping-particle":"","parse-names":false,"suffix":""},{"dropping-particle":"","family":"Wang","given":"Xiaotang","non-dropping-particle":"","parse-names":false,"suffix":""},{"dropping-particle":"","family":"Zhang","given":"Xuecheng","non-dropping-particle":"","parse-names":false,"suffix":""},{"dropping-particle":"","family":"Xiao","given":"Yazhong","non-dropping-particle":"","parse-names":false,"suffix":""}],"container-title":"Scientific Reports","id":"ITEM-3","issue":"1","issued":{"date-parts":[["2015","12"]]},"page":"17296","title":"A mechanism of glucose tolerance and stimulation of GH1 β-glucosidases","type":"article-journal","volume":"5"},"uris":["http://www.mendeley.com/documents/?uuid=8d3c27e0-e266-4c87-aa08-159d76e689b0"]}],"mendeley":{"formattedCitation":"&lt;sup&gt;[3,18,33]&lt;/sup&gt;","plainTextFormattedCitation":"[3,18,33]","previouslyFormattedCitation":"&lt;sup&gt;[3,18,33]&lt;/sup&gt;"},"properties":{"noteIndex":0},"schema":"https://github.com/citation-style-language/schema/raw/master/csl-citation.json"}</w:instrText>
      </w:r>
      <w:r w:rsidR="00B3626B" w:rsidRPr="00A02BDC">
        <w:rPr>
          <w:szCs w:val="24"/>
        </w:rPr>
        <w:fldChar w:fldCharType="separate"/>
      </w:r>
      <w:r w:rsidR="00881F49" w:rsidRPr="00A02BDC">
        <w:rPr>
          <w:noProof/>
          <w:szCs w:val="24"/>
          <w:vertAlign w:val="superscript"/>
        </w:rPr>
        <w:t>[3,18,33]</w:t>
      </w:r>
      <w:r w:rsidR="00B3626B" w:rsidRPr="00A02BDC">
        <w:rPr>
          <w:szCs w:val="24"/>
        </w:rPr>
        <w:fldChar w:fldCharType="end"/>
      </w:r>
      <w:r w:rsidR="00D63BAF" w:rsidRPr="00A02BDC">
        <w:rPr>
          <w:szCs w:val="24"/>
        </w:rPr>
        <w:t xml:space="preserve"> </w:t>
      </w:r>
      <w:r w:rsidR="00E677F2" w:rsidRPr="00A02BDC">
        <w:t xml:space="preserve">The structure of </w:t>
      </w:r>
      <w:r w:rsidR="00E677F2" w:rsidRPr="00A02BDC">
        <w:rPr>
          <w:i/>
          <w:iCs/>
        </w:rPr>
        <w:t>BglB</w:t>
      </w:r>
      <w:r w:rsidR="00E677F2" w:rsidRPr="00A02BDC">
        <w:t xml:space="preserve"> in complex with glucose (PDB: 2O9T)</w:t>
      </w:r>
      <w:r w:rsidR="00E677F2" w:rsidRPr="00A02BDC">
        <w:fldChar w:fldCharType="begin" w:fldLock="1"/>
      </w:r>
      <w:r w:rsidR="00881F49" w:rsidRPr="00A02BDC">
        <w:instrText>ADDIN CSL_CITATION {"citationItems":[{"id":"ITEM-1","itemData":{"DOI":"10.1016/j.jmb.2007.05.082","ISSN":"00222836","abstract":"Bacteria species involved in degradation of cellulosic substrates produce a variety of enzymes for processing related compounds along the hydrolytic pathway. Paenibacillus polymyxa encodes two homologous β-glucosidases, BglA and BglB, presenting different quaternary structures and substrate specificities. We previously reported the 3D-structure of BglA, which is highly specific against cellobiose. Here, we present structural analysis of BglB, a monomeric enzyme that acts as an exo-β-glucosidase hydrolyzing cellobiose and cellodextrins of higher degree of polymerization. The crystal structure of BglB shows that several polar residues narrow the active site pocket and contour additional subsites. The structure of the BglB-cellotetraose complex confirms these subsites, revealing the substrate-binding mode, and shows the oligosaccharide-enzyme recognition pattern in detail. Comparison between BglA and BglB crystal structures suggests that oligomerization in BglA can assist in fine-tuning the specificity of the active centre by modulating the loops surrounding the cavity. We have solved the crystal structure of BglB with bound thiocellobiose, a competitive inhibitor, which together with the BglB-cellotetraose complex delineate the general features of the aglycon site. The detailed characterization of the atomic interactions at the aglycon site show a recognition pattern common to all bacterial β-glucosidases, and presents some differences with the aglycon site in plant β-glycosidases essentially by means of a different orientation of the basal Trp. The crystal structures of of BglB with a covalently bound inhibitor (derived from 2-fluoroglucoside) and glucose (produced by hydrolysis of the substrate in the crystal), provide additional pictures of the binding events and the intermediates formed during the reaction. Altogether, this information can assist in the understanding of subtle differences of the enzyme mechanism and substrate recognition within this family of enzymes, and consequently it can help in the development of new enzymes with improved activity or specificity. © 2007 Elsevier Ltd. All rights reserved.","author":[{"dropping-particle":"","family":"Isorna","given":"Pablo","non-dropping-particle":"","parse-names":false,"suffix":""},{"dropping-particle":"","family":"Polaina","given":"Julio","non-dropping-particle":"","parse-names":false,"suffix":""},{"dropping-particle":"","family":"Latorre-García","given":"Lorena","non-dropping-particle":"","parse-names":false,"suffix":""},{"dropping-particle":"","family":"Cañada","given":"Francisco Javier","non-dropping-particle":"","parse-names":false,"suffix":""},{"dropping-particle":"","family":"González","given":"Beatriz","non-dropping-particle":"","parse-names":false,"suffix":""},{"dropping-particle":"","family":"Sanz-Aparicio","given":"Julia","non-dropping-particle":"","parse-names":false,"suffix":""}],"container-title":"Journal of Molecular Biology","id":"ITEM-1","issue":"5","issued":{"date-parts":[["2007"]]},"page":"1204-1218","title":"Crystal Structures of Paenibacillus polymyxa β-Glucosidase B Complexes Reveal the Molecular Basis of Substrate Specificity and Give New Insights into the Catalytic Machinery of Family I Glycosidases","type":"article-journal","volume":"371"},"uris":["http://www.mendeley.com/documents/?uuid=f1d2819c-ea10-4dcc-af86-025a52ad1e8d"]}],"mendeley":{"formattedCitation":"&lt;sup&gt;[25]&lt;/sup&gt;","plainTextFormattedCitation":"[25]","previouslyFormattedCitation":"&lt;sup&gt;[25]&lt;/sup&gt;"},"properties":{"noteIndex":0},"schema":"https://github.com/citation-style-language/schema/raw/master/csl-citation.json"}</w:instrText>
      </w:r>
      <w:r w:rsidR="00E677F2" w:rsidRPr="00A02BDC">
        <w:fldChar w:fldCharType="separate"/>
      </w:r>
      <w:r w:rsidR="00E677F2" w:rsidRPr="00A02BDC">
        <w:rPr>
          <w:noProof/>
          <w:vertAlign w:val="superscript"/>
        </w:rPr>
        <w:t>[25]</w:t>
      </w:r>
      <w:r w:rsidR="00E677F2" w:rsidRPr="00A02BDC">
        <w:fldChar w:fldCharType="end"/>
      </w:r>
      <w:r w:rsidR="00E677F2" w:rsidRPr="00A02BDC">
        <w:t xml:space="preserve"> has been solved; the residues involved in ligand binding (Q22, H122, N166, E157, H181, E365, W410, E409, W412:</w:t>
      </w:r>
      <w:r w:rsidR="00E677F2" w:rsidRPr="00A02BDC">
        <w:rPr>
          <w:i/>
          <w:iCs/>
        </w:rPr>
        <w:t>BglB</w:t>
      </w:r>
      <w:r w:rsidR="00E677F2" w:rsidRPr="00A02BDC">
        <w:t xml:space="preserve"> numbering) are conserved in </w:t>
      </w:r>
      <w:r w:rsidR="00E677F2" w:rsidRPr="00A02BDC">
        <w:rPr>
          <w:i/>
          <w:iCs/>
        </w:rPr>
        <w:t>Ahe</w:t>
      </w:r>
      <w:r w:rsidR="00E677F2" w:rsidRPr="00A02BDC">
        <w:t>GH1 (Fig. 3C). A mechanism of product inhibition, whereby the glucose molecule remains tightly bound to the active site until it is displaced by the arrival of a new substrate molecule</w:t>
      </w:r>
      <w:r w:rsidR="00580FDF" w:rsidRPr="00A02BDC">
        <w:t>,</w:t>
      </w:r>
      <w:r w:rsidR="00E677F2" w:rsidRPr="00A02BDC">
        <w:t xml:space="preserve"> has been suggested for a plant </w:t>
      </w:r>
      <w:r w:rsidR="00E677F2" w:rsidRPr="00A02BDC">
        <w:sym w:font="Symbol" w:char="F062"/>
      </w:r>
      <w:r w:rsidR="00E677F2" w:rsidRPr="00A02BDC">
        <w:t>-D-glucan glucohydrolase GH3 enzyme.</w:t>
      </w:r>
      <w:r w:rsidR="00E677F2" w:rsidRPr="00A02BDC">
        <w:fldChar w:fldCharType="begin" w:fldLock="1"/>
      </w:r>
      <w:r w:rsidR="00881F49" w:rsidRPr="00A02BDC">
        <w:instrText>ADDIN CSL_CITATION {"citationItems":[{"id":"ITEM-1","itemData":{"DOI":"10.1016/j.carres.2007.05.013","ISSN":"00086215","PMID":"17548065","abstract":"Higher plant, family GH3 β-d-glucan glucohydrolases exhibit exo-hydrolytic and retaining (e→e) mechanisms of action and catalyze the removal of single glucosyl residues from the non-reducing termini of β-d-linked glucosidic substrates, with retention of anomeric configuration. The broad specificity β-d-glucan glucohydrolases are likely to play roles in cell wall re-modelling, turn-over of cell wall components and possibly in plant defence reactions against pathogens. Crystal structures of the barley β-d-glucan glucohydrolase, obtained from both native enzyme and from the enzyme in complex with a substrate analogues and mechanism-based inhibitors, have enabled the basis of substrate specificity, the mechanism of catalysis, and the role of domain movements during the catalytic cycle to be defined in precise molecular terms. The active site of the enzyme forms a shallow 'pocket' that is located at the interface of two domains of the enzyme and accommodates two glucosyl residues. The propensity of the enzyme to hydrolyze a broad range of substrates with (1→2)-, (1→3)-, (1→4)- and (1→6)-β-d-glucosidic linkages is explained from crystal structures of the enzyme in complex with non-hydrolysable S-glycoside substrate analogues, and from molecular modelling. During binding of gluco-oligosaccharides, the glucosyl residue at subsite -1 is locked in a highly constrained position, but the glucosyl residue at the +1 subsite is free to adjust its position between two tryptophan residues positioned at the entry of the active site pocket. The flexibility at subsite +1 and the projection of the remainder of the substrate away from the pocket provide a structural rationale for the capacity of the enzyme to accommodate and hydrolyze glucosides with different linkage positions and hence different overall conformations. While mechanism-based inhibitors with micromolar Ki constants bind in the active site of the enzyme and form esters with the catalytic nucleophile, transition-state mimics bind with their 'glucose' moieties distorted into the 4E conformation, which is critical for the nanomolar binding of these inhibitors to the enzyme. The glucose product of the reaction, which is released from the non-reducing termini of substrates, remains bound to the β-d-glucan glucohydrolase in the -1 subsite of the active site, until a new substrate molecule approaches the enzyme. If dissociation of the glucose from the enzyme active site could be synchronized throughout the crystal, t…","author":[{"dropping-particle":"","family":"Hrmova","given":"Maria","non-dropping-particle":"","parse-names":false,"suffix":""},{"dropping-particle":"","family":"Fincher","given":"Geoffrey B.","non-dropping-particle":"","parse-names":false,"suffix":""}],"container-title":"Carbohydrate Research","id":"ITEM-1","issue":"12-13","issued":{"date-parts":[["2007"]]},"page":"1613-1623","title":"Dissecting the catalytic mechanism of a plant β-d-glucan glucohydrolase through structural biology using inhibitors and substrate analogues","type":"article-journal","volume":"342"},"uris":["http://www.mendeley.com/documents/?uuid=008b3fe0-63af-4a02-a94a-845f36384888"]}],"mendeley":{"formattedCitation":"&lt;sup&gt;[34]&lt;/sup&gt;","plainTextFormattedCitation":"[34]","previouslyFormattedCitation":"&lt;sup&gt;[34]&lt;/sup&gt;"},"properties":{"noteIndex":0},"schema":"https://github.com/citation-style-language/schema/raw/master/csl-citation.json"}</w:instrText>
      </w:r>
      <w:r w:rsidR="00E677F2" w:rsidRPr="00A02BDC">
        <w:fldChar w:fldCharType="separate"/>
      </w:r>
      <w:r w:rsidR="00E677F2" w:rsidRPr="00A02BDC">
        <w:rPr>
          <w:noProof/>
          <w:vertAlign w:val="superscript"/>
        </w:rPr>
        <w:t>[34]</w:t>
      </w:r>
      <w:r w:rsidR="00E677F2" w:rsidRPr="00A02BDC">
        <w:fldChar w:fldCharType="end"/>
      </w:r>
      <w:r w:rsidR="00E677F2" w:rsidRPr="00A02BDC">
        <w:t xml:space="preserve"> Further studies to </w:t>
      </w:r>
      <w:r w:rsidR="00580FDF" w:rsidRPr="00A02BDC">
        <w:t xml:space="preserve">assess the behaviour of </w:t>
      </w:r>
      <w:r w:rsidR="00E677F2" w:rsidRPr="00A02BDC">
        <w:t xml:space="preserve"> </w:t>
      </w:r>
      <w:r w:rsidR="00E677F2" w:rsidRPr="00A02BDC">
        <w:rPr>
          <w:i/>
          <w:iCs/>
        </w:rPr>
        <w:t>Ahe</w:t>
      </w:r>
      <w:r w:rsidR="00E677F2" w:rsidRPr="00A02BDC">
        <w:t xml:space="preserve">GH1 </w:t>
      </w:r>
      <w:r w:rsidR="00580FDF" w:rsidRPr="00A02BDC">
        <w:t>in the presence of glucose were</w:t>
      </w:r>
      <w:r w:rsidR="00E677F2" w:rsidRPr="00A02BDC">
        <w:t xml:space="preserve"> carried out. </w:t>
      </w:r>
      <w:r w:rsidR="00580FDF" w:rsidRPr="00A02BDC">
        <w:rPr>
          <w:szCs w:val="24"/>
        </w:rPr>
        <w:t>A</w:t>
      </w:r>
      <w:r w:rsidRPr="00A02BDC">
        <w:rPr>
          <w:szCs w:val="24"/>
        </w:rPr>
        <w:t xml:space="preserve"> broad range of glucose concentrations, from 0.1 to 25% </w:t>
      </w:r>
      <w:r w:rsidR="00E61BC2" w:rsidRPr="00A02BDC">
        <w:rPr>
          <w:i/>
          <w:iCs/>
          <w:szCs w:val="24"/>
        </w:rPr>
        <w:t>(</w:t>
      </w:r>
      <w:r w:rsidRPr="00A02BDC">
        <w:rPr>
          <w:i/>
          <w:iCs/>
          <w:szCs w:val="24"/>
        </w:rPr>
        <w:t>w/v</w:t>
      </w:r>
      <w:r w:rsidR="00E61BC2" w:rsidRPr="00A02BDC">
        <w:rPr>
          <w:i/>
          <w:iCs/>
          <w:szCs w:val="24"/>
        </w:rPr>
        <w:t>)</w:t>
      </w:r>
      <w:r w:rsidRPr="00A02BDC">
        <w:rPr>
          <w:szCs w:val="24"/>
        </w:rPr>
        <w:t xml:space="preserve">, were </w:t>
      </w:r>
      <w:r w:rsidR="00580FDF" w:rsidRPr="00A02BDC">
        <w:rPr>
          <w:szCs w:val="24"/>
        </w:rPr>
        <w:t xml:space="preserve">evaluated, showing that the </w:t>
      </w:r>
      <w:r w:rsidRPr="00A02BDC">
        <w:rPr>
          <w:i/>
          <w:iCs/>
        </w:rPr>
        <w:t>Ahe</w:t>
      </w:r>
      <w:r w:rsidRPr="00A02BDC">
        <w:t>GH1</w:t>
      </w:r>
      <w:r w:rsidRPr="00A02BDC">
        <w:rPr>
          <w:szCs w:val="24"/>
        </w:rPr>
        <w:t xml:space="preserve"> activity</w:t>
      </w:r>
      <w:r w:rsidR="00D63BAF" w:rsidRPr="00A02BDC">
        <w:rPr>
          <w:szCs w:val="24"/>
        </w:rPr>
        <w:t xml:space="preserve"> slowly</w:t>
      </w:r>
      <w:r w:rsidRPr="00A02BDC">
        <w:rPr>
          <w:szCs w:val="24"/>
        </w:rPr>
        <w:t xml:space="preserve"> </w:t>
      </w:r>
      <w:r w:rsidRPr="00A02BDC">
        <w:t xml:space="preserve">decreases as the concentration of glucose increases. </w:t>
      </w:r>
      <w:r w:rsidR="00D63BAF" w:rsidRPr="00A02BDC">
        <w:t>With</w:t>
      </w:r>
      <w:r w:rsidRPr="00A02BDC">
        <w:t xml:space="preserve"> 25% </w:t>
      </w:r>
      <w:r w:rsidRPr="00A02BDC">
        <w:rPr>
          <w:i/>
          <w:iCs/>
        </w:rPr>
        <w:t>(w/v)</w:t>
      </w:r>
      <w:r w:rsidRPr="00A02BDC">
        <w:t xml:space="preserve"> of glucose in the reaction, </w:t>
      </w:r>
      <w:r w:rsidRPr="00A02BDC">
        <w:rPr>
          <w:i/>
          <w:iCs/>
        </w:rPr>
        <w:t>Ahe</w:t>
      </w:r>
      <w:r w:rsidRPr="00A02BDC">
        <w:t>GH1</w:t>
      </w:r>
      <w:r w:rsidRPr="00A02BDC">
        <w:rPr>
          <w:i/>
          <w:iCs/>
        </w:rPr>
        <w:t xml:space="preserve"> </w:t>
      </w:r>
      <w:r w:rsidRPr="00A02BDC">
        <w:t>retain</w:t>
      </w:r>
      <w:r w:rsidR="00580FDF" w:rsidRPr="00A02BDC">
        <w:t>s</w:t>
      </w:r>
      <w:r w:rsidRPr="00A02BDC">
        <w:t xml:space="preserve"> 30% of its activity. In contrast, the </w:t>
      </w:r>
      <w:r w:rsidRPr="00A02BDC">
        <w:rPr>
          <w:rFonts w:cs="Times New Roman"/>
        </w:rPr>
        <w:t>β</w:t>
      </w:r>
      <w:r w:rsidRPr="00A02BDC">
        <w:t xml:space="preserve">- glucosidase from </w:t>
      </w:r>
      <w:r w:rsidRPr="00A02BDC">
        <w:rPr>
          <w:i/>
          <w:iCs/>
        </w:rPr>
        <w:lastRenderedPageBreak/>
        <w:t>Aspergillus niger</w:t>
      </w:r>
      <w:r w:rsidRPr="00A02BDC">
        <w:t xml:space="preserve">, a glycosidase commonly used in food industrial processes, only retains 2 % activity in the presence of 10 % </w:t>
      </w:r>
      <w:r w:rsidRPr="00A02BDC">
        <w:rPr>
          <w:i/>
          <w:iCs/>
        </w:rPr>
        <w:t>(w/v)</w:t>
      </w:r>
      <w:r w:rsidRPr="00A02BDC">
        <w:t xml:space="preserve"> glucose in the mixture</w:t>
      </w:r>
      <w:r w:rsidR="008760EC" w:rsidRPr="00A02BDC">
        <w:t>.</w:t>
      </w:r>
      <w:r w:rsidR="003F3256" w:rsidRPr="00A02BDC">
        <w:rPr>
          <w:rStyle w:val="FootnoteReference"/>
        </w:rPr>
        <w:fldChar w:fldCharType="begin" w:fldLock="1"/>
      </w:r>
      <w:r w:rsidR="00881F49" w:rsidRPr="00A02BDC">
        <w:rPr>
          <w:vertAlign w:val="superscript"/>
        </w:rPr>
        <w:instrText>ADDIN CSL_CITATION {"citationItems":[{"id":"ITEM-1","itemData":{"DOI":"10.1016/S0032-9592(00)00181-3","ISSN":"13595113","abstract":"Glycosidases are enzymes of particular interest for the wine-making and fruit-juice processing industry as the hydrolysis of glycoside-terpenols generates the free terpenols which contribute to the bouquet. However, the crude industrial preparations available on the market contain different types of glycosidases and contaminating enzymes whose contemporary action can produce undesired effects. This paper describes an effective and cheap procedure for purifying and separating different glycosidases present in an industrial crude extract and their use in comparative tests for flavour improvement of Falanghina wines. The methodology, which can be scaled up to an industrial level, allows the separation of α-l-rhamnopyranosidase, β-d-glucopyranosidase and α-l-arabinofuranosidase on partial cross-linked chitosan, with a recovery of 90, 74 and 70%, respectively. These activities were characterized for their optimal pH and temperature and stability in wine. The crude enzymatic preparation and the purified glycosidases were used and compared for the flavour improving of Falanghina white wine.","author":[{"dropping-particle":"","family":"Martino","given":"A","non-dropping-particle":"","parse-names":false,"suffix":""},{"dropping-particle":"","family":"Schiraldi","given":"C","non-dropping-particle":"","parse-names":false,"suffix":""},{"dropping-particle":"","family":"Lazzaro","given":"A","non-dropping-particle":"Di","parse-names":false,"suffix":""},{"dropping-particle":"","family":"Fiume","given":"I","non-dropping-particle":"","parse-names":false,"suffix":""},{"dropping-particle":"","family":"Spagna","given":"G","non-dropping-particle":"","parse-names":false,"suffix":""},{"dropping-particle":"","family":"Pifferi","given":"P.G","non-dropping-particle":"","parse-names":false,"suffix":""},{"dropping-particle":"","family":"Rosa","given":"M","non-dropping-particle":"De","parse-names":false,"suffix":""}],"container-title":"Process Biochemistry","id":"ITEM-1","issue":"1","issued":{"date-parts":[["2000"]]},"page":"93-102","title":"Improvement of the flavour of Falanghina white wine using a purified glycosidase preparation from Aspergillus niger","type":"article-journal","volume":"36"},"uris":["http://www.mendeley.com/documents/?uuid=a1e75701-3874-42e9-a7e7-fae9b5223a78"]}],"mendeley":{"formattedCitation":"&lt;sup&gt;[35]&lt;/sup&gt;","plainTextFormattedCitation":"[35]","previouslyFormattedCitation":"&lt;sup&gt;[35]&lt;/sup&gt;"},"properties":{"noteIndex":0},"schema":"https://github.com/citation-style-language/schema/raw/master/csl-citation.json"}</w:instrText>
      </w:r>
      <w:r w:rsidR="003F3256" w:rsidRPr="00A02BDC">
        <w:rPr>
          <w:rStyle w:val="FootnoteReference"/>
        </w:rPr>
        <w:fldChar w:fldCharType="separate"/>
      </w:r>
      <w:r w:rsidR="002A2880" w:rsidRPr="00A02BDC">
        <w:rPr>
          <w:bCs/>
          <w:noProof/>
          <w:vertAlign w:val="superscript"/>
          <w:lang w:val="en-US"/>
        </w:rPr>
        <w:t>[35]</w:t>
      </w:r>
      <w:r w:rsidR="003F3256" w:rsidRPr="00A02BDC">
        <w:rPr>
          <w:rStyle w:val="FootnoteReference"/>
        </w:rPr>
        <w:fldChar w:fldCharType="end"/>
      </w:r>
      <w:r w:rsidRPr="00A02BDC">
        <w:rPr>
          <w:vertAlign w:val="superscript"/>
        </w:rPr>
        <w:t xml:space="preserve">  </w:t>
      </w:r>
      <w:r w:rsidRPr="00A02BDC">
        <w:rPr>
          <w:szCs w:val="24"/>
        </w:rPr>
        <w:t xml:space="preserve">Fructose (Fig. </w:t>
      </w:r>
      <w:r w:rsidR="00B07395" w:rsidRPr="00A02BDC">
        <w:rPr>
          <w:szCs w:val="24"/>
        </w:rPr>
        <w:t>4C</w:t>
      </w:r>
      <w:r w:rsidRPr="00A02BDC">
        <w:rPr>
          <w:szCs w:val="24"/>
        </w:rPr>
        <w:t xml:space="preserve">) has a </w:t>
      </w:r>
      <w:r w:rsidR="00580FDF" w:rsidRPr="00A02BDC">
        <w:rPr>
          <w:szCs w:val="24"/>
        </w:rPr>
        <w:t>milder</w:t>
      </w:r>
      <w:r w:rsidRPr="00A02BDC">
        <w:rPr>
          <w:szCs w:val="24"/>
        </w:rPr>
        <w:t xml:space="preserve"> effect</w:t>
      </w:r>
      <w:r w:rsidR="00D722A1" w:rsidRPr="00A02BDC">
        <w:rPr>
          <w:szCs w:val="24"/>
        </w:rPr>
        <w:t xml:space="preserve"> on the</w:t>
      </w:r>
      <w:r w:rsidR="00580FDF" w:rsidRPr="00A02BDC">
        <w:rPr>
          <w:szCs w:val="24"/>
        </w:rPr>
        <w:t xml:space="preserve"> enzyme</w:t>
      </w:r>
      <w:r w:rsidR="00D722A1" w:rsidRPr="00A02BDC">
        <w:rPr>
          <w:szCs w:val="24"/>
        </w:rPr>
        <w:t xml:space="preserve"> activity</w:t>
      </w:r>
      <w:r w:rsidRPr="00A02BDC">
        <w:rPr>
          <w:szCs w:val="24"/>
        </w:rPr>
        <w:t xml:space="preserve"> than glucose. The retained activity varies between 80%, with 5% (</w:t>
      </w:r>
      <w:r w:rsidRPr="00A02BDC">
        <w:rPr>
          <w:i/>
          <w:iCs/>
          <w:szCs w:val="24"/>
        </w:rPr>
        <w:t>w/v</w:t>
      </w:r>
      <w:r w:rsidRPr="00A02BDC">
        <w:rPr>
          <w:szCs w:val="24"/>
        </w:rPr>
        <w:t>) of fructose, and 67%, with 25% of fructose in the reaction mixture.</w:t>
      </w:r>
      <w:r w:rsidR="00D722A1" w:rsidRPr="00A02BDC">
        <w:rPr>
          <w:szCs w:val="24"/>
        </w:rPr>
        <w:t xml:space="preserve"> It is unclear whether the effect of fructose is due to inhibition or caused by the 2-3-fold increase in viscosity as concentration increases.</w:t>
      </w:r>
      <w:r w:rsidR="00D722A1" w:rsidRPr="00A02BDC">
        <w:rPr>
          <w:szCs w:val="24"/>
        </w:rPr>
        <w:fldChar w:fldCharType="begin" w:fldLock="1"/>
      </w:r>
      <w:r w:rsidR="00881F49" w:rsidRPr="00A02BDC">
        <w:rPr>
          <w:szCs w:val="24"/>
        </w:rPr>
        <w:instrText>ADDIN CSL_CITATION {"citationItems":[{"id":"ITEM-1","itemData":{"DOI":"10.1080/10942910600673636","ISSN":"10942912","abstract":"Experimental viscosity values of sucrose, glucose, and fructose aqueous solutions in a large range of temperatures (0 to 85°C) and concentrations (10 to 60% w/w) that might be encountered in food processes were obtained in order to contribute to extending the available database of food properties. The temperature dependence of viscosity could be adequately described by the Arrhenius model, and the activation energy was well represented by a unique function of the solute volume fraction, valid for sucrose, glucose, and fructose solutions.","author":[{"dropping-particle":"","family":"Telis","given":"V. R.N.","non-dropping-particle":"","parse-names":false,"suffix":""},{"dropping-particle":"","family":"Telis-Romero","given":"J.","non-dropping-particle":"","parse-names":false,"suffix":""},{"dropping-particle":"","family":"Mazzotti","given":"H. B.","non-dropping-particle":"","parse-names":false,"suffix":""},{"dropping-particle":"","family":"Gabas","given":"A. L.","non-dropping-particle":"","parse-names":false,"suffix":""}],"container-title":"International Journal of Food Properties","id":"ITEM-1","issue":"1","issued":{"date-parts":[["2007"]]},"page":"185-195","title":"Viscosity of aqueous carbohydrate solutions at different temperatures and concentrations","type":"article-journal","volume":"10"},"uris":["http://www.mendeley.com/documents/?uuid=143008a0-d796-42e9-8fe1-9d55b037f38a","http://www.mendeley.com/documents/?uuid=3a2b69aa-d09b-4c81-a531-00fe0859954c"]}],"mendeley":{"formattedCitation":"&lt;sup&gt;[36]&lt;/sup&gt;","plainTextFormattedCitation":"[36]","previouslyFormattedCitation":"&lt;sup&gt;[36]&lt;/sup&gt;"},"properties":{"noteIndex":0},"schema":"https://github.com/citation-style-language/schema/raw/master/csl-citation.json"}</w:instrText>
      </w:r>
      <w:r w:rsidR="00D722A1" w:rsidRPr="00A02BDC">
        <w:rPr>
          <w:szCs w:val="24"/>
        </w:rPr>
        <w:fldChar w:fldCharType="separate"/>
      </w:r>
      <w:r w:rsidR="002A2880" w:rsidRPr="00A02BDC">
        <w:rPr>
          <w:noProof/>
          <w:szCs w:val="24"/>
          <w:vertAlign w:val="superscript"/>
        </w:rPr>
        <w:t>[36]</w:t>
      </w:r>
      <w:r w:rsidR="00D722A1" w:rsidRPr="00A02BDC">
        <w:rPr>
          <w:szCs w:val="24"/>
        </w:rPr>
        <w:fldChar w:fldCharType="end"/>
      </w:r>
      <w:r w:rsidR="000F1722" w:rsidRPr="00A02BDC">
        <w:rPr>
          <w:szCs w:val="24"/>
        </w:rPr>
        <w:t xml:space="preserve"> </w:t>
      </w:r>
    </w:p>
    <w:p w14:paraId="4E6D7537" w14:textId="745F40D9" w:rsidR="006E06E7" w:rsidRPr="00A02BDC" w:rsidRDefault="0017089A" w:rsidP="00E75C02">
      <w:pPr>
        <w:jc w:val="both"/>
      </w:pPr>
      <w:r w:rsidRPr="00A02BDC">
        <w:t xml:space="preserve">Commonly, many enzymes from mesophilic organisms are significantly destabilised by organic solvents. This could be attributed to the loss of crucial water molecules that maintain the protein conformation (desolvation), affecting the </w:t>
      </w:r>
      <w:r w:rsidR="000C6CC3" w:rsidRPr="00A02BDC">
        <w:rPr>
          <w:i/>
          <w:iCs/>
        </w:rPr>
        <w:t>K</w:t>
      </w:r>
      <w:r w:rsidR="000C6CC3" w:rsidRPr="00A02BDC">
        <w:rPr>
          <w:i/>
          <w:iCs/>
          <w:vertAlign w:val="subscript"/>
        </w:rPr>
        <w:t>m</w:t>
      </w:r>
      <w:r w:rsidR="000C6CC3" w:rsidRPr="00A02BDC">
        <w:t xml:space="preserve"> </w:t>
      </w:r>
      <w:r w:rsidRPr="00A02BDC">
        <w:t xml:space="preserve">and </w:t>
      </w:r>
      <w:r w:rsidRPr="00A02BDC">
        <w:rPr>
          <w:i/>
          <w:iCs/>
        </w:rPr>
        <w:t>v</w:t>
      </w:r>
      <w:r w:rsidRPr="00A02BDC">
        <w:rPr>
          <w:i/>
          <w:iCs/>
          <w:vertAlign w:val="subscript"/>
        </w:rPr>
        <w:t>max</w:t>
      </w:r>
      <w:r w:rsidRPr="00A02BDC">
        <w:t xml:space="preserve"> values, and, in the most dramatic cases the overall protein folding. Retained activity in the presence of organic solvents is possible only when the protein surface and the active site remain well hydrated. </w:t>
      </w:r>
      <w:r w:rsidRPr="00A02BDC">
        <w:rPr>
          <w:i/>
          <w:iCs/>
        </w:rPr>
        <w:t>Ahe</w:t>
      </w:r>
      <w:r w:rsidRPr="00A02BDC">
        <w:t xml:space="preserve">GH1 presents an impressive co-solvent tolerance, retaining over 50% activity in all cases (Fig. </w:t>
      </w:r>
      <w:r w:rsidR="00940170" w:rsidRPr="00A02BDC">
        <w:t>4D</w:t>
      </w:r>
      <w:r w:rsidRPr="00A02BDC">
        <w:t xml:space="preserve">).  Particularly relevant for the intended application of this enzyme, is its performance in the presence of ethanol which is one of the most common solvents in food processing; with 10 and 20% of ethanol in the reaction mix, </w:t>
      </w:r>
      <w:r w:rsidRPr="00A02BDC">
        <w:rPr>
          <w:i/>
          <w:iCs/>
        </w:rPr>
        <w:t>Ahe</w:t>
      </w:r>
      <w:r w:rsidRPr="00A02BDC">
        <w:t>GH1 is 50% more active than without ethanol at all. This behaviour has been previously reported for other glucosidases in literature</w:t>
      </w:r>
      <w:r w:rsidR="008760EC" w:rsidRPr="00A02BDC">
        <w:t>.</w:t>
      </w:r>
      <w:r w:rsidR="003F3256" w:rsidRPr="00A02BDC">
        <w:rPr>
          <w:rStyle w:val="FootnoteReference"/>
        </w:rPr>
        <w:fldChar w:fldCharType="begin" w:fldLock="1"/>
      </w:r>
      <w:r w:rsidR="00881F49" w:rsidRPr="00A02BDC">
        <w:rPr>
          <w:vertAlign w:val="superscript"/>
        </w:rPr>
        <w:instrText>ADDIN CSL_CITATION {"citationItems":[{"id":"ITEM-1","itemData":{"DOI":"10.1111/j.1365-2672.2009.04461.x","ISBN":"1364-5072","ISSN":"13645072","PMID":"19702863","abstract":"AIMS To study glycosidase activities of a Lactobacillus brevis strain and to isolate an intracellular beta-glucosidase from this strain. METHODS AND RESULTS Lactic acid bacteria (LAB) isolated from a commercially available starter culture preparation for malolactic fermentation were tested for beta-glycosidase activities. A strain of Lact. brevis showing high intracellular beta-D-glucosidase, beta-D-xylosidase and alpha-L-arabinosidase activities was selected for purification and characterization of its beta-glucosidase. The pure glucosidase from Lact. brevis has also side activities of xylosidase, arabinosidase and cellobiosidase. It is a homotetramer of 330 kDa and has an isoelectric point at pH 3.5. The K(m) for p-nitrophenyl-beta-D-glucopyranoside and p-nitrophenyl-beta-D-xylopyranoside is 0.22 and 1.14 mmol l(-1), respectively. The beta-glucosidase activity was strongly inhibited by gluconic acid delta-lactone, partially by glucose and gluconate, but not by fructose. Ethanol and methanol were found to increase the activity up to twofold. The free enzyme was stable at pH 7.0 (t(1/2) = 50 day) but not at pH 4.0 (t(1/2) = 4 days). CONCLUSIONS The beta-glucosidase from Lact. brevis is widely different to that characterized from Lactobacillus casei (Coulon et al. 1998) and Lactobacillus plantarum (Sestelo et al. 2004). The high tolerance to fructose and ethanol, the low inhibitory effect of glucose on the enzyme activity and the good long-term stability could be of great interest for the release of aroma compounds during winemaking. SIGNIFICANCE AND IMPACT OF THE STUDY Although the release of aroma compounds by LAB has been demonstrated by several authors, little information exists on the responsible enzymes. This study contains the first characterization of an intracellular beta-glucosidase isolated from a wine-related strain of Lact. brevis.","author":[{"dropping-particle":"","family":"Michlmayr","given":"H.","non-dropping-particle":"","parse-names":false,"suffix":""},{"dropping-particle":"","family":"Schümann","given":"C.","non-dropping-particle":"","parse-names":false,"suffix":""},{"dropping-particle":"","family":"Barreira Braz Da Silva","given":"N. M.","non-dropping-particle":"","parse-names":false,"suffix":""},{"dropping-particle":"","family":"Kulbe","given":"K. D.","non-dropping-particle":"","parse-names":false,"suffix":""},{"dropping-particle":"","family":"Hierro","given":"A. M.","non-dropping-particle":"Del","parse-names":false,"suffix":""}],"container-title":"Journal of Applied Microbiology","id":"ITEM-1","issue":"2","issued":{"date-parts":[["2010"]]},"page":"550-559","title":"Isolation and basic characterization of a β-glucosidase from a strain of Lactobacillus brevis isolated from a malolactic starter culture","type":"article-journal","volume":"108"},"uris":["http://www.mendeley.com/documents/?uuid=da0404ab-93c9-411d-82f3-0e4167d2289e"]}],"mendeley":{"formattedCitation":"&lt;sup&gt;[37]&lt;/sup&gt;","plainTextFormattedCitation":"[37]","previouslyFormattedCitation":"&lt;sup&gt;[37]&lt;/sup&gt;"},"properties":{"noteIndex":0},"schema":"https://github.com/citation-style-language/schema/raw/master/csl-citation.json"}</w:instrText>
      </w:r>
      <w:r w:rsidR="003F3256" w:rsidRPr="00A02BDC">
        <w:rPr>
          <w:rStyle w:val="FootnoteReference"/>
        </w:rPr>
        <w:fldChar w:fldCharType="separate"/>
      </w:r>
      <w:r w:rsidR="002A2880" w:rsidRPr="00A02BDC">
        <w:rPr>
          <w:noProof/>
          <w:vertAlign w:val="superscript"/>
        </w:rPr>
        <w:t>[37]</w:t>
      </w:r>
      <w:r w:rsidR="003F3256" w:rsidRPr="00A02BDC">
        <w:rPr>
          <w:rStyle w:val="FootnoteReference"/>
        </w:rPr>
        <w:fldChar w:fldCharType="end"/>
      </w:r>
    </w:p>
    <w:p w14:paraId="49E565F7" w14:textId="355B47FA" w:rsidR="006E06E7" w:rsidRPr="00A02BDC" w:rsidRDefault="006E06E7">
      <w:pPr>
        <w:spacing w:line="240" w:lineRule="auto"/>
        <w:jc w:val="center"/>
        <w:rPr>
          <w:b/>
          <w:bCs/>
          <w:sz w:val="18"/>
          <w:szCs w:val="18"/>
        </w:rPr>
      </w:pPr>
    </w:p>
    <w:p w14:paraId="2FC872A9" w14:textId="677AAA9A" w:rsidR="00EA56E7" w:rsidRPr="00A02BDC" w:rsidRDefault="009F55FF" w:rsidP="00580FDF">
      <w:pPr>
        <w:spacing w:line="240" w:lineRule="auto"/>
        <w:ind w:hanging="284"/>
        <w:jc w:val="center"/>
        <w:rPr>
          <w:b/>
          <w:bCs/>
          <w:sz w:val="18"/>
          <w:szCs w:val="18"/>
        </w:rPr>
      </w:pPr>
      <w:r w:rsidRPr="00A02BDC">
        <w:rPr>
          <w:noProof/>
        </w:rPr>
        <w:lastRenderedPageBreak/>
        <w:drawing>
          <wp:inline distT="0" distB="0" distL="0" distR="0" wp14:anchorId="39A98738" wp14:editId="476BC9E6">
            <wp:extent cx="6408000" cy="52164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8000" cy="5216400"/>
                    </a:xfrm>
                    <a:prstGeom prst="rect">
                      <a:avLst/>
                    </a:prstGeom>
                    <a:noFill/>
                    <a:ln>
                      <a:noFill/>
                    </a:ln>
                  </pic:spPr>
                </pic:pic>
              </a:graphicData>
            </a:graphic>
          </wp:inline>
        </w:drawing>
      </w:r>
    </w:p>
    <w:p w14:paraId="5853290B" w14:textId="58DD14C3" w:rsidR="0017089A" w:rsidRPr="00A02BDC" w:rsidRDefault="0017089A" w:rsidP="008D2541">
      <w:pPr>
        <w:spacing w:line="240" w:lineRule="auto"/>
        <w:jc w:val="center"/>
      </w:pPr>
      <w:r w:rsidRPr="00A02BDC">
        <w:rPr>
          <w:b/>
          <w:bCs/>
          <w:sz w:val="18"/>
          <w:szCs w:val="18"/>
        </w:rPr>
        <w:t xml:space="preserve">Figure </w:t>
      </w:r>
      <w:r w:rsidRPr="00A02BDC">
        <w:rPr>
          <w:b/>
          <w:bCs/>
          <w:sz w:val="18"/>
          <w:szCs w:val="18"/>
        </w:rPr>
        <w:fldChar w:fldCharType="begin"/>
      </w:r>
      <w:r w:rsidRPr="00A02BDC">
        <w:rPr>
          <w:b/>
          <w:bCs/>
          <w:sz w:val="18"/>
          <w:szCs w:val="18"/>
        </w:rPr>
        <w:instrText xml:space="preserve"> SEQ Figure \* ARABIC </w:instrText>
      </w:r>
      <w:r w:rsidRPr="00A02BDC">
        <w:rPr>
          <w:b/>
          <w:bCs/>
          <w:sz w:val="18"/>
          <w:szCs w:val="18"/>
        </w:rPr>
        <w:fldChar w:fldCharType="separate"/>
      </w:r>
      <w:r w:rsidRPr="00A02BDC">
        <w:rPr>
          <w:b/>
          <w:bCs/>
          <w:sz w:val="18"/>
          <w:szCs w:val="18"/>
        </w:rPr>
        <w:t>4</w:t>
      </w:r>
      <w:r w:rsidRPr="00A02BDC">
        <w:rPr>
          <w:b/>
          <w:bCs/>
          <w:sz w:val="18"/>
          <w:szCs w:val="18"/>
        </w:rPr>
        <w:fldChar w:fldCharType="end"/>
      </w:r>
      <w:r w:rsidRPr="00A02BDC">
        <w:rPr>
          <w:b/>
          <w:bCs/>
          <w:sz w:val="18"/>
          <w:szCs w:val="18"/>
        </w:rPr>
        <w:t xml:space="preserve">. </w:t>
      </w:r>
      <w:r w:rsidR="009E2537" w:rsidRPr="00A02BDC">
        <w:rPr>
          <w:b/>
          <w:bCs/>
          <w:sz w:val="18"/>
          <w:szCs w:val="18"/>
        </w:rPr>
        <w:t xml:space="preserve">(A) Specific activity with various pNP-glucosides. (B) Substrate inhibition kinetics with pNPG. (C) </w:t>
      </w:r>
      <w:r w:rsidRPr="00A02BDC">
        <w:rPr>
          <w:b/>
          <w:bCs/>
          <w:sz w:val="18"/>
          <w:szCs w:val="18"/>
        </w:rPr>
        <w:t>Effect of Glucose and Fructose</w:t>
      </w:r>
      <w:r w:rsidR="009E2537" w:rsidRPr="00A02BDC">
        <w:rPr>
          <w:b/>
          <w:bCs/>
          <w:sz w:val="18"/>
          <w:szCs w:val="18"/>
        </w:rPr>
        <w:t xml:space="preserve"> on activity</w:t>
      </w:r>
      <w:r w:rsidRPr="00A02BDC">
        <w:rPr>
          <w:b/>
          <w:bCs/>
          <w:sz w:val="18"/>
          <w:szCs w:val="18"/>
        </w:rPr>
        <w:t xml:space="preserve"> and (</w:t>
      </w:r>
      <w:r w:rsidR="009E2537" w:rsidRPr="00A02BDC">
        <w:rPr>
          <w:b/>
          <w:bCs/>
          <w:sz w:val="18"/>
          <w:szCs w:val="18"/>
        </w:rPr>
        <w:t>D</w:t>
      </w:r>
      <w:r w:rsidRPr="00A02BDC">
        <w:rPr>
          <w:b/>
          <w:bCs/>
          <w:sz w:val="18"/>
          <w:szCs w:val="18"/>
        </w:rPr>
        <w:t xml:space="preserve">) </w:t>
      </w:r>
      <w:r w:rsidR="009E2537" w:rsidRPr="00A02BDC">
        <w:rPr>
          <w:b/>
          <w:bCs/>
          <w:sz w:val="18"/>
          <w:szCs w:val="18"/>
        </w:rPr>
        <w:t xml:space="preserve">Effect of </w:t>
      </w:r>
      <w:r w:rsidRPr="00A02BDC">
        <w:rPr>
          <w:b/>
          <w:bCs/>
          <w:sz w:val="18"/>
          <w:szCs w:val="18"/>
        </w:rPr>
        <w:t>co-solvents</w:t>
      </w:r>
      <w:r w:rsidR="009E2537" w:rsidRPr="00A02BDC">
        <w:rPr>
          <w:b/>
          <w:bCs/>
          <w:sz w:val="18"/>
          <w:szCs w:val="18"/>
        </w:rPr>
        <w:t xml:space="preserve"> on activity</w:t>
      </w:r>
      <w:r w:rsidRPr="00A02BDC">
        <w:rPr>
          <w:b/>
          <w:bCs/>
          <w:sz w:val="18"/>
          <w:szCs w:val="18"/>
        </w:rPr>
        <w:t>. Represented in the figures are the mean and the standard deviation. The activity was tested using the standard activity assay at 25 ºC. Error bars represent standard deviations (n = 3).</w:t>
      </w:r>
    </w:p>
    <w:p w14:paraId="095A7147" w14:textId="77777777" w:rsidR="0017089A" w:rsidRPr="00A02BDC" w:rsidRDefault="0017089A" w:rsidP="0017089A"/>
    <w:p w14:paraId="6DB861F2" w14:textId="77777777" w:rsidR="0017089A" w:rsidRPr="00A02BDC" w:rsidRDefault="0017089A" w:rsidP="00750A9C">
      <w:pPr>
        <w:pStyle w:val="Heading3"/>
        <w:numPr>
          <w:ilvl w:val="0"/>
          <w:numId w:val="0"/>
        </w:numPr>
        <w:ind w:left="720" w:hanging="720"/>
      </w:pPr>
      <w:r w:rsidRPr="00A02BDC">
        <w:t>Stability assays</w:t>
      </w:r>
    </w:p>
    <w:p w14:paraId="559260BF" w14:textId="77777777" w:rsidR="0017089A" w:rsidRPr="00A02BDC" w:rsidRDefault="0017089A" w:rsidP="0017089A">
      <w:pPr>
        <w:spacing w:after="200"/>
        <w:jc w:val="both"/>
        <w:rPr>
          <w:szCs w:val="24"/>
        </w:rPr>
      </w:pPr>
      <w:r w:rsidRPr="00A02BDC">
        <w:t>Enzyme long term stability is also a key parameter t</w:t>
      </w:r>
      <w:r w:rsidRPr="00A02BDC">
        <w:rPr>
          <w:rFonts w:cs="Arial"/>
        </w:rPr>
        <w:t xml:space="preserve">o assess the potential implementation of the catalyst in biotechnological processes.  </w:t>
      </w:r>
      <w:r w:rsidRPr="00A02BDC">
        <w:rPr>
          <w:szCs w:val="24"/>
        </w:rPr>
        <w:t xml:space="preserve">Results for the </w:t>
      </w:r>
      <w:r w:rsidRPr="00A02BDC">
        <w:rPr>
          <w:i/>
          <w:iCs/>
          <w:szCs w:val="24"/>
        </w:rPr>
        <w:t>Ahe</w:t>
      </w:r>
      <w:r w:rsidRPr="00A02BDC">
        <w:rPr>
          <w:szCs w:val="24"/>
        </w:rPr>
        <w:t xml:space="preserve">GH1 stability assay in the presence of co-solvents and a different range of temperatures and pH values have been evaluated. </w:t>
      </w:r>
    </w:p>
    <w:p w14:paraId="03C14289" w14:textId="32433CBD" w:rsidR="0017089A" w:rsidRPr="00A02BDC" w:rsidRDefault="0017089A" w:rsidP="008D2541">
      <w:pPr>
        <w:spacing w:after="200"/>
        <w:rPr>
          <w:szCs w:val="24"/>
        </w:rPr>
      </w:pPr>
      <w:r w:rsidRPr="00A02BDC">
        <w:rPr>
          <w:szCs w:val="24"/>
        </w:rPr>
        <w:t xml:space="preserve">When the enzyme is incubated with co-solvents (Fig. 5), a very stable behaviour over significant period of time is observed. </w:t>
      </w:r>
      <w:r w:rsidRPr="00A02BDC">
        <w:rPr>
          <w:i/>
          <w:iCs/>
          <w:szCs w:val="24"/>
        </w:rPr>
        <w:t>Ahe</w:t>
      </w:r>
      <w:r w:rsidRPr="00A02BDC">
        <w:rPr>
          <w:szCs w:val="24"/>
        </w:rPr>
        <w:t>GH1 retains over 55 % activity after 48 h incubation in all 12 conditions.</w:t>
      </w:r>
    </w:p>
    <w:p w14:paraId="4F75F7EA" w14:textId="07F02EA4" w:rsidR="00EA56E7" w:rsidRPr="00A02BDC" w:rsidRDefault="00EA56E7" w:rsidP="00EA56E7">
      <w:pPr>
        <w:pStyle w:val="Caption"/>
        <w:jc w:val="center"/>
        <w:rPr>
          <w:rFonts w:cs="Arial"/>
          <w:color w:val="auto"/>
          <w:sz w:val="16"/>
          <w:szCs w:val="16"/>
        </w:rPr>
      </w:pPr>
      <w:r w:rsidRPr="00A02BDC">
        <w:rPr>
          <w:noProof/>
        </w:rPr>
        <w:lastRenderedPageBreak/>
        <w:drawing>
          <wp:inline distT="0" distB="0" distL="0" distR="0" wp14:anchorId="243A0586" wp14:editId="5A613053">
            <wp:extent cx="3600000" cy="2476821"/>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00000" cy="2476821"/>
                    </a:xfrm>
                    <a:prstGeom prst="rect">
                      <a:avLst/>
                    </a:prstGeom>
                  </pic:spPr>
                </pic:pic>
              </a:graphicData>
            </a:graphic>
          </wp:inline>
        </w:drawing>
      </w:r>
    </w:p>
    <w:p w14:paraId="282243A2" w14:textId="2B20C6C4" w:rsidR="0017089A" w:rsidRPr="00A02BDC" w:rsidRDefault="0017089A" w:rsidP="008D2541">
      <w:pPr>
        <w:pStyle w:val="Caption"/>
        <w:jc w:val="center"/>
      </w:pPr>
      <w:r w:rsidRPr="00A02BDC">
        <w:rPr>
          <w:rFonts w:cs="Arial"/>
          <w:color w:val="auto"/>
          <w:sz w:val="16"/>
          <w:szCs w:val="16"/>
        </w:rPr>
        <w:t xml:space="preserve">Figure </w:t>
      </w:r>
      <w:r w:rsidRPr="00A02BDC">
        <w:rPr>
          <w:rFonts w:cs="Arial"/>
          <w:color w:val="auto"/>
          <w:sz w:val="16"/>
          <w:szCs w:val="16"/>
        </w:rPr>
        <w:fldChar w:fldCharType="begin"/>
      </w:r>
      <w:r w:rsidRPr="00A02BDC">
        <w:rPr>
          <w:rFonts w:cs="Arial"/>
          <w:color w:val="auto"/>
          <w:sz w:val="16"/>
          <w:szCs w:val="16"/>
        </w:rPr>
        <w:instrText xml:space="preserve"> SEQ Figure \* ARABIC </w:instrText>
      </w:r>
      <w:r w:rsidRPr="00A02BDC">
        <w:rPr>
          <w:rFonts w:cs="Arial"/>
          <w:color w:val="auto"/>
          <w:sz w:val="16"/>
          <w:szCs w:val="16"/>
        </w:rPr>
        <w:fldChar w:fldCharType="separate"/>
      </w:r>
      <w:r w:rsidRPr="00A02BDC">
        <w:rPr>
          <w:rFonts w:cs="Arial"/>
          <w:noProof/>
          <w:color w:val="auto"/>
          <w:sz w:val="16"/>
          <w:szCs w:val="16"/>
        </w:rPr>
        <w:t>5</w:t>
      </w:r>
      <w:r w:rsidRPr="00A02BDC">
        <w:rPr>
          <w:rFonts w:cs="Arial"/>
          <w:color w:val="auto"/>
          <w:sz w:val="16"/>
          <w:szCs w:val="16"/>
        </w:rPr>
        <w:fldChar w:fldCharType="end"/>
      </w:r>
      <w:r w:rsidRPr="00A02BDC">
        <w:rPr>
          <w:rFonts w:cs="Arial"/>
          <w:color w:val="auto"/>
          <w:sz w:val="16"/>
          <w:szCs w:val="16"/>
        </w:rPr>
        <w:t xml:space="preserve">. Effect of the incubation in different co-solvents on </w:t>
      </w:r>
      <w:r w:rsidRPr="00A02BDC">
        <w:rPr>
          <w:rFonts w:cs="Arial"/>
          <w:i/>
          <w:iCs/>
          <w:color w:val="auto"/>
          <w:sz w:val="16"/>
          <w:szCs w:val="16"/>
        </w:rPr>
        <w:t>A</w:t>
      </w:r>
      <w:r w:rsidR="001F19A6" w:rsidRPr="00A02BDC">
        <w:rPr>
          <w:rFonts w:cs="Arial"/>
          <w:i/>
          <w:iCs/>
          <w:color w:val="auto"/>
          <w:sz w:val="16"/>
          <w:szCs w:val="16"/>
        </w:rPr>
        <w:t>he</w:t>
      </w:r>
      <w:r w:rsidRPr="00A02BDC">
        <w:rPr>
          <w:rFonts w:cs="Arial"/>
          <w:color w:val="auto"/>
          <w:sz w:val="16"/>
          <w:szCs w:val="16"/>
        </w:rPr>
        <w:t>GH1 stability. The activity was tested using the standard activity assay at 25 ºC. Activity expressed relative to the activity at t</w:t>
      </w:r>
      <w:r w:rsidR="000C6CC3" w:rsidRPr="00A02BDC">
        <w:rPr>
          <w:rFonts w:cs="Arial"/>
          <w:color w:val="auto"/>
          <w:sz w:val="16"/>
          <w:szCs w:val="16"/>
        </w:rPr>
        <w:t xml:space="preserve"> </w:t>
      </w:r>
      <w:r w:rsidRPr="00A02BDC">
        <w:rPr>
          <w:rFonts w:cs="Arial"/>
          <w:color w:val="auto"/>
          <w:sz w:val="16"/>
          <w:szCs w:val="16"/>
        </w:rPr>
        <w:t>=</w:t>
      </w:r>
      <w:r w:rsidR="000C6CC3" w:rsidRPr="00A02BDC">
        <w:rPr>
          <w:rFonts w:cs="Arial"/>
          <w:color w:val="auto"/>
          <w:sz w:val="16"/>
          <w:szCs w:val="16"/>
        </w:rPr>
        <w:t xml:space="preserve"> </w:t>
      </w:r>
      <w:r w:rsidRPr="00A02BDC">
        <w:rPr>
          <w:rFonts w:cs="Arial"/>
          <w:color w:val="auto"/>
          <w:sz w:val="16"/>
          <w:szCs w:val="16"/>
        </w:rPr>
        <w:t>0. Error bars represent standard deviations (n</w:t>
      </w:r>
      <w:r w:rsidR="000C6CC3" w:rsidRPr="00A02BDC">
        <w:rPr>
          <w:rFonts w:cs="Arial"/>
          <w:color w:val="auto"/>
          <w:sz w:val="16"/>
          <w:szCs w:val="16"/>
        </w:rPr>
        <w:t xml:space="preserve"> </w:t>
      </w:r>
      <w:r w:rsidRPr="00A02BDC">
        <w:rPr>
          <w:rFonts w:cs="Arial"/>
          <w:color w:val="auto"/>
          <w:sz w:val="16"/>
          <w:szCs w:val="16"/>
        </w:rPr>
        <w:t>=</w:t>
      </w:r>
      <w:r w:rsidR="000C6CC3" w:rsidRPr="00A02BDC">
        <w:rPr>
          <w:rFonts w:cs="Arial"/>
          <w:color w:val="auto"/>
          <w:sz w:val="16"/>
          <w:szCs w:val="16"/>
        </w:rPr>
        <w:t xml:space="preserve"> </w:t>
      </w:r>
      <w:r w:rsidRPr="00A02BDC">
        <w:rPr>
          <w:rFonts w:cs="Arial"/>
          <w:color w:val="auto"/>
          <w:sz w:val="16"/>
          <w:szCs w:val="16"/>
        </w:rPr>
        <w:t>3).</w:t>
      </w:r>
    </w:p>
    <w:p w14:paraId="45896ABA" w14:textId="77777777" w:rsidR="0017089A" w:rsidRPr="00A02BDC" w:rsidRDefault="0017089A" w:rsidP="0017089A"/>
    <w:p w14:paraId="43D04959" w14:textId="2FF15352" w:rsidR="0017089A" w:rsidRPr="00A02BDC" w:rsidRDefault="0017089A" w:rsidP="0017089A">
      <w:pPr>
        <w:jc w:val="both"/>
      </w:pPr>
      <w:r w:rsidRPr="00A02BDC">
        <w:t>The results obtained for the enzymatic stability at a different pH values (Fig. S</w:t>
      </w:r>
      <w:r w:rsidR="00FB5DD3" w:rsidRPr="00A02BDC">
        <w:t>5</w:t>
      </w:r>
      <w:r w:rsidRPr="00A02BDC">
        <w:t xml:space="preserve">) showed that </w:t>
      </w:r>
      <w:r w:rsidRPr="00A02BDC">
        <w:rPr>
          <w:i/>
          <w:iCs/>
        </w:rPr>
        <w:t>Ahe</w:t>
      </w:r>
      <w:r w:rsidRPr="00A02BDC">
        <w:t>GH1 is stable between pH 5 and 1</w:t>
      </w:r>
      <w:r w:rsidR="002A0EF7" w:rsidRPr="00A02BDC">
        <w:t>1</w:t>
      </w:r>
      <w:r w:rsidRPr="00A02BDC">
        <w:t>, less active at pH 4 and 12 and completely unstable at pH 3.  The enzyme shows no activity at pH 3 despite being selected from an acidophilic organism. Indeed, the ability of the source microorganism in dealing with acidic pH does not always translate to the isolated catalyst. Most adaptation mechanisms developed by acidophiles to survive at low pH involve very efficient homeostasis which prevents the ingress of protons to the cytoplasm</w:t>
      </w:r>
      <w:r w:rsidR="008760EC" w:rsidRPr="00A02BDC">
        <w:t>.</w:t>
      </w:r>
      <w:r w:rsidR="003F3256" w:rsidRPr="00A02BDC">
        <w:rPr>
          <w:rStyle w:val="FootnoteReference"/>
        </w:rPr>
        <w:fldChar w:fldCharType="begin" w:fldLock="1"/>
      </w:r>
      <w:r w:rsidR="00881F49" w:rsidRPr="00A02BDC">
        <w:rPr>
          <w:vertAlign w:val="superscript"/>
        </w:rPr>
        <w:instrText>ADDIN CSL_CITATION {"citationItems":[{"id":"ITEM-1","itemData":{"DOI":"10.1007/978-3-319-48327-6","ISBN":"9783319483276","abstract":"This entirely updated second edition provides an overview on the biology, ecology and biodiversity of extremophiles. Unusual and less explored ecosystems inhabited by extremophiles such as marine hypersaline deeps, extreme cold, desert sands, and man-made clean rooms for spacecraft assembly are presented. An additional focus is put on the role of these highly specialized microorganism in applied research fields, ranging from biotechnology and nanotechnology to astrobiology. Examples such as novel psychrophilic enzymes, compounds from halophiles, and detection strategies for potential extraterrestrial life forms are discussed in detail. The book addresses researchers and advanced students in the fields of microbiology, microbial ecology and biotechnology.","author":[{"dropping-particle":"","family":"Stan-Lotter","given":"Helga","non-dropping-particle":"","parse-names":false,"suffix":""},{"dropping-particle":"","family":"Fendrihan","given":"Sergiu","non-dropping-particle":"","parse-names":false,"suffix":""}],"container-title":"Adaption of Microbial Life to Environmental Extremes: Novel Research Results and Application, Second Edition","id":"ITEM-1","issue":"28850","issued":{"date-parts":[["2017"]]},"page":"1-342","title":"Adaption of microbial life to environmental extremes: Novel research results and application, second edition","type":"article-journal"},"uris":["http://www.mendeley.com/documents/?uuid=eff2866f-910d-4c2e-8905-d44464f8c480"]}],"mendeley":{"formattedCitation":"&lt;sup&gt;[38]&lt;/sup&gt;","plainTextFormattedCitation":"[38]","previouslyFormattedCitation":"&lt;sup&gt;[38]&lt;/sup&gt;"},"properties":{"noteIndex":0},"schema":"https://github.com/citation-style-language/schema/raw/master/csl-citation.json"}</w:instrText>
      </w:r>
      <w:r w:rsidR="003F3256" w:rsidRPr="00A02BDC">
        <w:rPr>
          <w:rStyle w:val="FootnoteReference"/>
        </w:rPr>
        <w:fldChar w:fldCharType="separate"/>
      </w:r>
      <w:r w:rsidR="002A2880" w:rsidRPr="00A02BDC">
        <w:rPr>
          <w:bCs/>
          <w:noProof/>
          <w:vertAlign w:val="superscript"/>
          <w:lang w:val="en-US"/>
        </w:rPr>
        <w:t>[38]</w:t>
      </w:r>
      <w:r w:rsidR="003F3256" w:rsidRPr="00A02BDC">
        <w:rPr>
          <w:rStyle w:val="FootnoteReference"/>
        </w:rPr>
        <w:fldChar w:fldCharType="end"/>
      </w:r>
      <w:r w:rsidRPr="00A02BDC">
        <w:t xml:space="preserve"> Consequently, the cytoplasmatic enzymes of those organism do not necessarily deal with acidic conditions and hence are not adapted to it.   </w:t>
      </w:r>
    </w:p>
    <w:p w14:paraId="289AA4C3" w14:textId="67876937" w:rsidR="0017089A" w:rsidRPr="00A02BDC" w:rsidRDefault="0017089A" w:rsidP="0017089A">
      <w:pPr>
        <w:spacing w:after="200"/>
        <w:jc w:val="both"/>
        <w:rPr>
          <w:szCs w:val="24"/>
        </w:rPr>
      </w:pPr>
      <w:r w:rsidRPr="00A02BDC">
        <w:rPr>
          <w:szCs w:val="24"/>
        </w:rPr>
        <w:t>Regarding stability at different temperatures (Fig. S</w:t>
      </w:r>
      <w:r w:rsidR="00FB5DD3" w:rsidRPr="00A02BDC">
        <w:rPr>
          <w:szCs w:val="24"/>
        </w:rPr>
        <w:t>6</w:t>
      </w:r>
      <w:r w:rsidRPr="00A02BDC">
        <w:rPr>
          <w:szCs w:val="24"/>
        </w:rPr>
        <w:t xml:space="preserve">), </w:t>
      </w:r>
      <w:r w:rsidRPr="00A02BDC">
        <w:rPr>
          <w:i/>
          <w:iCs/>
          <w:szCs w:val="24"/>
        </w:rPr>
        <w:t>Ahe</w:t>
      </w:r>
      <w:r w:rsidRPr="00A02BDC">
        <w:rPr>
          <w:szCs w:val="24"/>
        </w:rPr>
        <w:t xml:space="preserve">GH1 retains above 40% activity from 4 ºC up to 55 ºC, covering the usual range of temperatures of food industrial processes. </w:t>
      </w:r>
      <w:r w:rsidR="008030A7" w:rsidRPr="00A02BDC">
        <w:rPr>
          <w:szCs w:val="24"/>
        </w:rPr>
        <w:t xml:space="preserve">This is lower than for the </w:t>
      </w:r>
      <w:r w:rsidR="00360445" w:rsidRPr="00A02BDC">
        <w:rPr>
          <w:szCs w:val="24"/>
        </w:rPr>
        <w:t xml:space="preserve">GH1 from thermoacidophile </w:t>
      </w:r>
      <w:r w:rsidR="00360445" w:rsidRPr="00A02BDC">
        <w:rPr>
          <w:i/>
          <w:iCs/>
          <w:szCs w:val="24"/>
        </w:rPr>
        <w:t>Alicyclobacillus acidocaldarius</w:t>
      </w:r>
      <w:r w:rsidR="00360445" w:rsidRPr="00A02BDC">
        <w:rPr>
          <w:szCs w:val="24"/>
        </w:rPr>
        <w:t xml:space="preserve"> (WP_008336965.1; 5</w:t>
      </w:r>
      <w:r w:rsidR="00AC17AD" w:rsidRPr="00A02BDC">
        <w:rPr>
          <w:szCs w:val="24"/>
        </w:rPr>
        <w:t>2</w:t>
      </w:r>
      <w:r w:rsidR="00360445" w:rsidRPr="00A02BDC">
        <w:rPr>
          <w:szCs w:val="24"/>
        </w:rPr>
        <w:t>% identity),</w:t>
      </w:r>
      <w:r w:rsidR="00360445" w:rsidRPr="00A02BDC">
        <w:rPr>
          <w:szCs w:val="24"/>
        </w:rPr>
        <w:fldChar w:fldCharType="begin" w:fldLock="1"/>
      </w:r>
      <w:r w:rsidR="00881F49" w:rsidRPr="00A02BDC">
        <w:rPr>
          <w:szCs w:val="24"/>
        </w:rPr>
        <w:instrText>ADDIN CSL_CITATION {"citationItems":[{"id":"ITEM-1","itemData":{"DOI":"10.1007/s00792-005-0500-1","ISSN":"14334909","PMID":"16609814","abstract":"In cell free extracts of the thermoacidophilic gram-positive bacterium Alicyclobacillus acidocaldarius ATCC27009, we have identified β-gluco- and galactosidase activities showing a specific activity of 0.1 and 12 U/mg, respectively. The two enzymatic activities are associated with different polypeptides and we show here the functional cloning, the expression in Escherichia coli and the characterisation of the β-glucosidase (Aaβ-gly). The enzyme, which is optimally active and stable at temperatures above 65°C, belongs to glycoside hydrolase family 1 (GH1) and shows wide substrate specificity on different aryl-glycosides and cello-oligosaccharides with kcat/KM for 4-nitrophenyl-β-D-glucoside and cellobiose of 2,976 and 185 s-1mM-1, respectively. Interestingly, upstream to the β-glycosidase gene, we identified a second ORF homologous to the ATPase subunit of the bacterial ABC transporters (abc1) that is co-transcribed with the β-glycosidase gene glyB and that could be involved in the carbohydrate import. The activity of the enzyme on cello-oligosaccharides of up to five glucose units strongly indicates that the enzyme could be involved in vivo in the degradation of glucans together with endoglucanase enzymes previously described. This, together with the co-expression of the two genes, suggests a role for the glyB-abc1 cluster in A. acidocaldarius in the degradation of cellulose and hemicelluloses. © Springer-Verlag 2006.","author":[{"dropping-particle":"Di","family":"Lauro","given":"Barbara","non-dropping-particle":"","parse-names":false,"suffix":""},{"dropping-particle":"","family":"Rossi","given":"Mosè","non-dropping-particle":"","parse-names":false,"suffix":""},{"dropping-particle":"","family":"Moracci","given":"Marco","non-dropping-particle":"","parse-names":false,"suffix":""}],"container-title":"Extremophiles","id":"ITEM-1","issue":"4","issued":{"date-parts":[["2006"]]},"page":"301-310","title":"Characterization of a β-glycosidase from the thermoacidophilic bacterium Alicyclobacillus acidocaldarius","type":"article","volume":"10"},"uris":["http://www.mendeley.com/documents/?uuid=23bc45a5-562d-4547-be58-485c533be9c2","http://www.mendeley.com/documents/?uuid=41ce01c8-c7c3-43ea-83cd-ddcd702dc1e2"]}],"mendeley":{"formattedCitation":"&lt;sup&gt;[39]&lt;/sup&gt;","plainTextFormattedCitation":"[39]","previouslyFormattedCitation":"&lt;sup&gt;[39]&lt;/sup&gt;"},"properties":{"noteIndex":0},"schema":"https://github.com/citation-style-language/schema/raw/master/csl-citation.json"}</w:instrText>
      </w:r>
      <w:r w:rsidR="00360445" w:rsidRPr="00A02BDC">
        <w:rPr>
          <w:szCs w:val="24"/>
        </w:rPr>
        <w:fldChar w:fldCharType="separate"/>
      </w:r>
      <w:r w:rsidR="002A2880" w:rsidRPr="00A02BDC">
        <w:rPr>
          <w:noProof/>
          <w:szCs w:val="24"/>
          <w:vertAlign w:val="superscript"/>
        </w:rPr>
        <w:t>[39]</w:t>
      </w:r>
      <w:r w:rsidR="00360445" w:rsidRPr="00A02BDC">
        <w:rPr>
          <w:szCs w:val="24"/>
        </w:rPr>
        <w:fldChar w:fldCharType="end"/>
      </w:r>
      <w:r w:rsidR="00360445" w:rsidRPr="00A02BDC">
        <w:rPr>
          <w:szCs w:val="24"/>
        </w:rPr>
        <w:t xml:space="preserve"> which was stable at up to 65 °C. </w:t>
      </w:r>
      <w:r w:rsidR="00CD48FF" w:rsidRPr="00A02BDC">
        <w:rPr>
          <w:szCs w:val="24"/>
        </w:rPr>
        <w:t xml:space="preserve">On the other hand, the aforementioned </w:t>
      </w:r>
      <w:r w:rsidR="00CD48FF" w:rsidRPr="00A02BDC">
        <w:rPr>
          <w:i/>
          <w:iCs/>
          <w:szCs w:val="24"/>
        </w:rPr>
        <w:t>BglB</w:t>
      </w:r>
      <w:r w:rsidR="00CD48FF" w:rsidRPr="00A02BDC">
        <w:rPr>
          <w:szCs w:val="24"/>
        </w:rPr>
        <w:t xml:space="preserve"> of </w:t>
      </w:r>
      <w:r w:rsidR="00CD48FF" w:rsidRPr="00A02BDC">
        <w:rPr>
          <w:i/>
          <w:iCs/>
          <w:szCs w:val="24"/>
        </w:rPr>
        <w:t>Paenibacillus polymyxa</w:t>
      </w:r>
      <w:r w:rsidR="00CD48FF" w:rsidRPr="00A02BDC">
        <w:rPr>
          <w:szCs w:val="24"/>
        </w:rPr>
        <w:t xml:space="preserve"> has a half-life of 2.7 min at 55 °C. </w:t>
      </w:r>
      <w:r w:rsidR="007E6618" w:rsidRPr="00A02BDC">
        <w:rPr>
          <w:szCs w:val="24"/>
        </w:rPr>
        <w:t>Arrizubieta and Polaina</w:t>
      </w:r>
      <w:r w:rsidR="008F339F" w:rsidRPr="00A02BDC">
        <w:rPr>
          <w:szCs w:val="24"/>
        </w:rPr>
        <w:fldChar w:fldCharType="begin" w:fldLock="1"/>
      </w:r>
      <w:r w:rsidR="00881F49" w:rsidRPr="00A02BDC">
        <w:rPr>
          <w:szCs w:val="24"/>
        </w:rPr>
        <w:instrText>ADDIN CSL_CITATION {"citationItems":[{"id":"ITEM-1","itemData":{"DOI":"10.1074/jbc.M003036200","ISBN":"3496363630","ISSN":"00219258","PMID":"10871610","abstract":"The bglB gene from Paenibacillus polymyxa was subjected to random mutagenesis mediated by error prone polymerase chain reaction amplification and DNA shuffling. After this treatment, mutant variants of the encoded β-glucosidase with enhanced thermal resistance were selected. We identified five amino acid substitutions at four different positions of the sequence that increased the resistance of the enzyme to heat denaturation. Four of the mutations, H62R, M319V, M319I, and M361I, did not change the kinetic parameters of the enzyme. However, mutant N223Y, which caused only a marginal increase in thermoresistance, showed an 8-fold decrease in K(m). Copies of the bglB gene carrying each one of the individual mutations were recombined in vitro by DNA shuffling. As a result, we obtained an enzyme that simultaneously exhibited a 20-fold increase in heat resistance and an 8-fold increase in the catalytic efficiency. The structural basis of the properties conferred by the mutations was analyzed using homology-based structural models. The four mutations causing a more pronounced effect on thermoresistance were located in loops, on the periphery of the (α/β)8 barrel that conforms the structure of the protein. Mutation N223Y, which modifies the catalytic properties of the enzyme, was on one of the barrel β-strands that shape the active center.","author":[{"dropping-particle":"","family":"Arrizubieta","given":"M. J.","non-dropping-particle":"","parse-names":false,"suffix":""},{"dropping-particle":"","family":"Polaina","given":"J.","non-dropping-particle":"","parse-names":false,"suffix":""}],"container-title":"Journal of Biological Chemistry","id":"ITEM-1","issue":"37","issued":{"date-parts":[["2000"]]},"page":"28843-28848","title":"Increased thermal resistance and modification of the catalytic properties of a β-glucosidase by random mutagenesis and in vitro recombination","type":"article-journal","volume":"275"},"uris":["http://www.mendeley.com/documents/?uuid=c61c77f4-017b-473d-a777-1936a64aefa5","http://www.mendeley.com/documents/?uuid=40a0c85a-3c64-4a8c-802a-2ba57253f245"]}],"mendeley":{"formattedCitation":"&lt;sup&gt;[40]&lt;/sup&gt;","plainTextFormattedCitation":"[40]","previouslyFormattedCitation":"&lt;sup&gt;[40]&lt;/sup&gt;"},"properties":{"noteIndex":0},"schema":"https://github.com/citation-style-language/schema/raw/master/csl-citation.json"}</w:instrText>
      </w:r>
      <w:r w:rsidR="008F339F" w:rsidRPr="00A02BDC">
        <w:rPr>
          <w:szCs w:val="24"/>
        </w:rPr>
        <w:fldChar w:fldCharType="separate"/>
      </w:r>
      <w:r w:rsidR="002A2880" w:rsidRPr="00A02BDC">
        <w:rPr>
          <w:noProof/>
          <w:szCs w:val="24"/>
          <w:vertAlign w:val="superscript"/>
        </w:rPr>
        <w:t>[40]</w:t>
      </w:r>
      <w:r w:rsidR="008F339F" w:rsidRPr="00A02BDC">
        <w:rPr>
          <w:szCs w:val="24"/>
        </w:rPr>
        <w:fldChar w:fldCharType="end"/>
      </w:r>
      <w:r w:rsidR="007E6618" w:rsidRPr="00A02BDC">
        <w:rPr>
          <w:szCs w:val="24"/>
        </w:rPr>
        <w:t xml:space="preserve"> reported four mutations (three residues) that enhance its thermostability, H62</w:t>
      </w:r>
      <w:r w:rsidR="008F339F" w:rsidRPr="00A02BDC">
        <w:rPr>
          <w:szCs w:val="24"/>
        </w:rPr>
        <w:t>R</w:t>
      </w:r>
      <w:r w:rsidR="007E6618" w:rsidRPr="00A02BDC">
        <w:rPr>
          <w:szCs w:val="24"/>
        </w:rPr>
        <w:t xml:space="preserve">, M319I/V and M361I, with H62M resulting in the largest increase in thermostability. The equivalent residues in </w:t>
      </w:r>
      <w:r w:rsidR="007E6618" w:rsidRPr="00A02BDC">
        <w:rPr>
          <w:i/>
          <w:iCs/>
          <w:szCs w:val="24"/>
        </w:rPr>
        <w:t>Ahe</w:t>
      </w:r>
      <w:r w:rsidR="007E6618" w:rsidRPr="00A02BDC">
        <w:rPr>
          <w:szCs w:val="24"/>
        </w:rPr>
        <w:t xml:space="preserve">GH1 are </w:t>
      </w:r>
      <w:r w:rsidR="008F339F" w:rsidRPr="00A02BDC">
        <w:rPr>
          <w:szCs w:val="24"/>
        </w:rPr>
        <w:t>R</w:t>
      </w:r>
      <w:r w:rsidR="007E6618" w:rsidRPr="00A02BDC">
        <w:rPr>
          <w:szCs w:val="24"/>
        </w:rPr>
        <w:t>62, A319 and F361</w:t>
      </w:r>
      <w:r w:rsidR="008F339F" w:rsidRPr="00A02BDC">
        <w:rPr>
          <w:szCs w:val="24"/>
        </w:rPr>
        <w:t xml:space="preserve"> (</w:t>
      </w:r>
      <w:r w:rsidR="0045428D" w:rsidRPr="00A02BDC">
        <w:rPr>
          <w:szCs w:val="24"/>
        </w:rPr>
        <w:t>see Supporting information</w:t>
      </w:r>
      <w:r w:rsidR="008F339F" w:rsidRPr="00A02BDC">
        <w:rPr>
          <w:szCs w:val="24"/>
        </w:rPr>
        <w:t>)</w:t>
      </w:r>
      <w:r w:rsidR="007E6618" w:rsidRPr="00A02BDC">
        <w:rPr>
          <w:szCs w:val="24"/>
        </w:rPr>
        <w:t xml:space="preserve">. Thus, the most significant mutation in </w:t>
      </w:r>
      <w:r w:rsidR="007E6618" w:rsidRPr="00A02BDC">
        <w:rPr>
          <w:i/>
          <w:iCs/>
          <w:szCs w:val="24"/>
        </w:rPr>
        <w:t>BglB</w:t>
      </w:r>
      <w:r w:rsidR="007E6618" w:rsidRPr="00A02BDC">
        <w:rPr>
          <w:szCs w:val="24"/>
        </w:rPr>
        <w:t xml:space="preserve"> is mirrored and </w:t>
      </w:r>
      <w:r w:rsidR="007E6618" w:rsidRPr="00A02BDC">
        <w:rPr>
          <w:szCs w:val="24"/>
        </w:rPr>
        <w:lastRenderedPageBreak/>
        <w:t xml:space="preserve">the other two residues are altered, which might contribute to the enhanced thermostability of </w:t>
      </w:r>
      <w:r w:rsidR="007E6618" w:rsidRPr="00A02BDC">
        <w:rPr>
          <w:i/>
          <w:iCs/>
          <w:szCs w:val="24"/>
        </w:rPr>
        <w:t>Ahe</w:t>
      </w:r>
      <w:r w:rsidR="007E6618" w:rsidRPr="00A02BDC">
        <w:rPr>
          <w:szCs w:val="24"/>
        </w:rPr>
        <w:t>GH1</w:t>
      </w:r>
      <w:r w:rsidR="0045428D" w:rsidRPr="00A02BDC">
        <w:rPr>
          <w:szCs w:val="24"/>
        </w:rPr>
        <w:t>.</w:t>
      </w:r>
      <w:r w:rsidR="008F339F" w:rsidRPr="00A02BDC">
        <w:rPr>
          <w:szCs w:val="24"/>
        </w:rPr>
        <w:t xml:space="preserve"> </w:t>
      </w:r>
      <w:r w:rsidR="0045428D" w:rsidRPr="00A02BDC">
        <w:rPr>
          <w:szCs w:val="24"/>
        </w:rPr>
        <w:t>Yet, while t</w:t>
      </w:r>
      <w:r w:rsidR="008F339F" w:rsidRPr="00A02BDC">
        <w:rPr>
          <w:szCs w:val="24"/>
        </w:rPr>
        <w:t xml:space="preserve">he authors propose a salt-bridge between R62 and E429 in </w:t>
      </w:r>
      <w:r w:rsidR="008F339F" w:rsidRPr="00A02BDC">
        <w:rPr>
          <w:i/>
          <w:iCs/>
          <w:szCs w:val="24"/>
        </w:rPr>
        <w:t>BglB</w:t>
      </w:r>
      <w:r w:rsidR="008F339F" w:rsidRPr="00A02BDC">
        <w:rPr>
          <w:szCs w:val="24"/>
        </w:rPr>
        <w:t xml:space="preserve">, the equivalent residue in </w:t>
      </w:r>
      <w:r w:rsidR="008F339F" w:rsidRPr="00A02BDC">
        <w:rPr>
          <w:i/>
          <w:iCs/>
          <w:szCs w:val="24"/>
        </w:rPr>
        <w:t>Ahe</w:t>
      </w:r>
      <w:r w:rsidR="008F339F" w:rsidRPr="00A02BDC">
        <w:rPr>
          <w:szCs w:val="24"/>
        </w:rPr>
        <w:t>GH1 is Q429.</w:t>
      </w:r>
    </w:p>
    <w:p w14:paraId="47C67D6A" w14:textId="4AB918D1" w:rsidR="000633D5" w:rsidRPr="00A02BDC" w:rsidRDefault="000633D5" w:rsidP="0017089A">
      <w:pPr>
        <w:spacing w:after="200"/>
        <w:jc w:val="both"/>
        <w:rPr>
          <w:bCs/>
          <w:szCs w:val="24"/>
          <w:lang w:val="en-US"/>
        </w:rPr>
      </w:pPr>
      <w:r w:rsidRPr="00A02BDC">
        <w:rPr>
          <w:bCs/>
          <w:szCs w:val="24"/>
          <w:lang w:val="en-US"/>
        </w:rPr>
        <w:t xml:space="preserve">The thermal stability of </w:t>
      </w:r>
      <w:r w:rsidRPr="00A02BDC">
        <w:rPr>
          <w:bCs/>
          <w:i/>
          <w:iCs/>
          <w:szCs w:val="24"/>
          <w:lang w:val="en-US"/>
        </w:rPr>
        <w:t>Ahe</w:t>
      </w:r>
      <w:r w:rsidRPr="00A02BDC">
        <w:rPr>
          <w:bCs/>
          <w:szCs w:val="24"/>
          <w:lang w:val="en-US"/>
        </w:rPr>
        <w:t xml:space="preserve">GH1 was measured via thermofluorimetry studies, following </w:t>
      </w:r>
      <w:r w:rsidRPr="00A02BDC">
        <w:rPr>
          <w:szCs w:val="24"/>
        </w:rPr>
        <w:t>the increase in fluorescence intensity (excitation wavelength = 470-505 nm; emission =540 nm-700 nm) that arises due to the binding of the fluorophore SYPRO</w:t>
      </w:r>
      <w:r w:rsidRPr="00A02BDC">
        <w:rPr>
          <w:szCs w:val="24"/>
        </w:rPr>
        <w:sym w:font="Symbol" w:char="F0D4"/>
      </w:r>
      <w:r w:rsidRPr="00A02BDC">
        <w:rPr>
          <w:szCs w:val="24"/>
        </w:rPr>
        <w:t xml:space="preserve">Orange to internally-located hydrophobic residues of the protein, that become exposed during thermal denaturation (see </w:t>
      </w:r>
      <w:r w:rsidRPr="00A02BDC">
        <w:rPr>
          <w:bCs/>
          <w:szCs w:val="24"/>
          <w:lang w:val="en-US"/>
        </w:rPr>
        <w:t xml:space="preserve">Materials and Methods). </w:t>
      </w:r>
      <w:r w:rsidRPr="00A02BDC">
        <w:rPr>
          <w:bCs/>
          <w:i/>
          <w:iCs/>
          <w:szCs w:val="24"/>
          <w:lang w:val="en-US"/>
        </w:rPr>
        <w:t>Ahe</w:t>
      </w:r>
      <w:r w:rsidRPr="00A02BDC">
        <w:rPr>
          <w:bCs/>
          <w:szCs w:val="24"/>
          <w:lang w:val="en-US"/>
        </w:rPr>
        <w:t>GH1 unfolded in a single step, with a melting temperature (</w:t>
      </w:r>
      <w:r w:rsidRPr="00A02BDC">
        <w:rPr>
          <w:bCs/>
          <w:i/>
          <w:szCs w:val="24"/>
          <w:lang w:val="en-US"/>
        </w:rPr>
        <w:t>Tm</w:t>
      </w:r>
      <w:r w:rsidRPr="00A02BDC">
        <w:rPr>
          <w:bCs/>
          <w:szCs w:val="24"/>
          <w:lang w:val="en-US"/>
        </w:rPr>
        <w:t>) of 67</w:t>
      </w:r>
      <w:r w:rsidRPr="00A02BDC">
        <w:rPr>
          <w:bCs/>
          <w:szCs w:val="24"/>
          <w:lang w:val="en-US"/>
        </w:rPr>
        <w:sym w:font="Symbol" w:char="F0B0"/>
      </w:r>
      <w:r w:rsidRPr="00A02BDC">
        <w:rPr>
          <w:bCs/>
          <w:szCs w:val="24"/>
          <w:lang w:val="en-US"/>
        </w:rPr>
        <w:t xml:space="preserve">C (Fig. S7). </w:t>
      </w:r>
      <w:r w:rsidR="00881F49" w:rsidRPr="00A02BDC">
        <w:rPr>
          <w:bCs/>
          <w:szCs w:val="24"/>
          <w:lang w:val="en-US"/>
        </w:rPr>
        <w:t xml:space="preserve">This is approx. 10 °C higher than what has been reported for wild-type </w:t>
      </w:r>
      <w:r w:rsidR="00881F49" w:rsidRPr="00A02BDC">
        <w:rPr>
          <w:bCs/>
          <w:i/>
          <w:iCs/>
          <w:szCs w:val="24"/>
          <w:lang w:val="en-US"/>
        </w:rPr>
        <w:t>BglB</w:t>
      </w:r>
      <w:r w:rsidR="00881F49" w:rsidRPr="00A02BDC">
        <w:rPr>
          <w:bCs/>
          <w:szCs w:val="24"/>
          <w:lang w:val="en-US"/>
        </w:rPr>
        <w:t>,</w:t>
      </w:r>
      <w:r w:rsidR="00881F49" w:rsidRPr="00A02BDC">
        <w:rPr>
          <w:bCs/>
          <w:szCs w:val="24"/>
          <w:lang w:val="en-US"/>
        </w:rPr>
        <w:fldChar w:fldCharType="begin" w:fldLock="1"/>
      </w:r>
      <w:r w:rsidR="00881F49" w:rsidRPr="00A02BDC">
        <w:rPr>
          <w:bCs/>
          <w:szCs w:val="24"/>
          <w:lang w:val="en-US"/>
        </w:rPr>
        <w:instrText>ADDIN CSL_CITATION {"citationItems":[{"id":"ITEM-1","itemData":{"DOI":"10.1007/s10930-011-9334-0","ISSN":"15734943","abstract":"β-glucosidase B (BglB), 1,4-β-D-glucanohydrolase, is an enzyme with various technological applications for which some thermostable mutants have been obtained. Because BglB denatures irreversibly with heating, the stabilities of these mutants are assessed kinetically. It, therefore, becomes relevant to determine whether the measured rate constants reflect one or several elementary kinetic steps. We have analyzed the kinetics of heat denaturation of BglB from Paenibacillus polymyxa under various conditions by following the loss of secondary structure and enzymatic activity. The denaturation is accompanied by aggregation and an initial reversible step at low temperatures. At T≥Tm, the process follows a two-state irreversible mechanism for which the kinetics does not depend on the enzyme concentration. This behavior can be explained by a Lumry-Eyring model in which the difference between the rates of the irreversible and the renaturation steps increases with temperature. Accordingly, at high scan rates (≥1 °C min-1) or temperatures (T≥Tm), the measurable activation energy involves only the elementary step of denaturation. © Springer Science+Business Media, LLC 2011.","author":[{"dropping-particle":"","family":"Camarillo-Cadena","given":"Menandro","non-dropping-particle":"","parse-names":false,"suffix":""},{"dropping-particle":"","family":"Garza-Ramos","given":"Georgina","non-dropping-particle":"","parse-names":false,"suffix":""},{"dropping-particle":"","family":"Peimbert","given":"Mariana","non-dropping-particle":"","parse-names":false,"suffix":""},{"dropping-particle":"","family":"Pérez-Hernández","given":"Gerardo","non-dropping-particle":"","parse-names":false,"suffix":""},{"dropping-particle":"","family":"Zubillaga","given":"Rafael A.","non-dropping-particle":"","parse-names":false,"suffix":""}],"container-title":"Protein Journal","id":"ITEM-1","issue":"5","issued":{"date-parts":[["2011"]]},"page":"318-323","title":"Thermal denaturation of β-Glucosidase B from paenibacillus polymyxa proceeds through a lumry-eyring mechanism","type":"article-journal","volume":"30"},"uris":["http://www.mendeley.com/documents/?uuid=df168396-9368-4fbd-b2a8-7dfb6330fe83"]},{"id":"ITEM-2","itemData":{"DOI":"10.1007/s10930-012-9445-2","ISSN":"15723887","PMID":"22923194","abstract":"Previously, we applied in vitro evolution to generate the thermoresistant triple mutant H62R/N223Y/M319I of β-glucosidase B (BglB) from Paenibacillus polymyxa. In order to dissect the energetic contributions to protein stabilization achieved by these mutations, we measured the kinetic constants of the heat denaturation of wild type BglB, the triple mutant and the three single mutants (H62R, N223Y, M319I) by circular dichroism at various temperatures. Our results show that all four mutants delayed the denaturation process. Based on the Transition State theory, the increase of the activation barrier for the thermal denaturation of the triple mutant (ΔΔG N→TS ) is equivalent to that produced by the sum of the contributions from the three single mutants, whose C β s are located at least 18 Å apart. This analysis provides a formal demonstration of the generally accepted idea that protein thermal stability can be increased through sequential addition of individual mutations. Each of the mutations described here contribute in part to the overall effect, which in this case affects the unfolding barrier. © 2012 Springer Science+Business Media, LLC.","author":[{"dropping-particle":"","family":"Camarillo-Cadena","given":"Menandro","non-dropping-particle":"","parse-names":false,"suffix":""},{"dropping-particle":"","family":"Garza-Ramos","given":"Gerogina","non-dropping-particle":"","parse-names":false,"suffix":""},{"dropping-particle":"","family":"Peimbert","given":"Mariana","non-dropping-particle":"","parse-names":false,"suffix":""},{"dropping-particle":"","family":"Polaina","given":"Julio","non-dropping-particle":"","parse-names":false,"suffix":""},{"dropping-particle":"","family":"Pérez-Hernández","given":"Gerardo","non-dropping-particle":"","parse-names":false,"suffix":""},{"dropping-particle":"","family":"Zubillaga","given":"Rafael A.","non-dropping-particle":"","parse-names":false,"suffix":""}],"container-title":"Protein Journal","id":"ITEM-2","issue":"7","issued":{"date-parts":[["2012"]]},"page":"615-622","title":"Additive effect of single amino acid replacements on the kinetic stability of β-glucosidase B","type":"article-journal","volume":"31"},"uris":["http://www.mendeley.com/documents/?uuid=87ee38d5-187f-4e50-8b0f-bff767d33461"]}],"mendeley":{"formattedCitation":"&lt;sup&gt;[41,42]&lt;/sup&gt;","plainTextFormattedCitation":"[41,42]","previouslyFormattedCitation":"&lt;sup&gt;[41]&lt;/sup&gt;"},"properties":{"noteIndex":0},"schema":"https://github.com/citation-style-language/schema/raw/master/csl-citation.json"}</w:instrText>
      </w:r>
      <w:r w:rsidR="00881F49" w:rsidRPr="00A02BDC">
        <w:rPr>
          <w:bCs/>
          <w:szCs w:val="24"/>
          <w:lang w:val="en-US"/>
        </w:rPr>
        <w:fldChar w:fldCharType="separate"/>
      </w:r>
      <w:r w:rsidR="00881F49" w:rsidRPr="00A02BDC">
        <w:rPr>
          <w:bCs/>
          <w:noProof/>
          <w:szCs w:val="24"/>
          <w:vertAlign w:val="superscript"/>
          <w:lang w:val="en-US"/>
        </w:rPr>
        <w:t>[41,42]</w:t>
      </w:r>
      <w:r w:rsidR="00881F49" w:rsidRPr="00A02BDC">
        <w:rPr>
          <w:bCs/>
          <w:szCs w:val="24"/>
          <w:lang w:val="en-US"/>
        </w:rPr>
        <w:fldChar w:fldCharType="end"/>
      </w:r>
      <w:r w:rsidR="00881F49" w:rsidRPr="00A02BDC">
        <w:rPr>
          <w:bCs/>
          <w:szCs w:val="24"/>
          <w:lang w:val="en-US"/>
        </w:rPr>
        <w:t xml:space="preserve"> further confirming the increased thermostability of </w:t>
      </w:r>
      <w:r w:rsidR="00881F49" w:rsidRPr="00A02BDC">
        <w:rPr>
          <w:bCs/>
          <w:i/>
          <w:iCs/>
          <w:szCs w:val="24"/>
          <w:lang w:val="en-US"/>
        </w:rPr>
        <w:t>Ahe</w:t>
      </w:r>
      <w:r w:rsidR="00881F49" w:rsidRPr="00A02BDC">
        <w:rPr>
          <w:bCs/>
          <w:szCs w:val="24"/>
          <w:lang w:val="en-US"/>
        </w:rPr>
        <w:t>GH1.</w:t>
      </w:r>
    </w:p>
    <w:p w14:paraId="4FAFA6FA" w14:textId="77777777" w:rsidR="0017089A" w:rsidRPr="00A02BDC" w:rsidRDefault="0017089A" w:rsidP="00750A9C">
      <w:pPr>
        <w:pStyle w:val="Heading2"/>
        <w:numPr>
          <w:ilvl w:val="0"/>
          <w:numId w:val="0"/>
        </w:numPr>
        <w:ind w:left="576" w:hanging="576"/>
      </w:pPr>
      <w:r w:rsidRPr="00A02BDC">
        <w:t>Activity of Ahe</w:t>
      </w:r>
      <w:r w:rsidRPr="00A02BDC">
        <w:rPr>
          <w:i w:val="0"/>
          <w:iCs/>
        </w:rPr>
        <w:t>GH1</w:t>
      </w:r>
      <w:r w:rsidRPr="00A02BDC">
        <w:t xml:space="preserve"> with isoflavone glucosides</w:t>
      </w:r>
    </w:p>
    <w:p w14:paraId="0FB8890F" w14:textId="568F2C2B" w:rsidR="0017089A" w:rsidRPr="00A02BDC" w:rsidRDefault="0017089A" w:rsidP="008D2541">
      <w:r w:rsidRPr="00A02BDC">
        <w:t xml:space="preserve">The hydrolytic activity of </w:t>
      </w:r>
      <w:r w:rsidRPr="00A02BDC">
        <w:rPr>
          <w:i/>
          <w:iCs/>
        </w:rPr>
        <w:t>Ahe</w:t>
      </w:r>
      <w:r w:rsidRPr="00A02BDC">
        <w:t>GH1</w:t>
      </w:r>
      <w:r w:rsidRPr="00A02BDC">
        <w:rPr>
          <w:i/>
          <w:iCs/>
        </w:rPr>
        <w:t xml:space="preserve"> </w:t>
      </w:r>
      <w:r w:rsidRPr="00A02BDC">
        <w:t xml:space="preserve">towards </w:t>
      </w:r>
      <w:r w:rsidR="002A0EF7" w:rsidRPr="00A02BDC">
        <w:t xml:space="preserve">three </w:t>
      </w:r>
      <w:r w:rsidRPr="00A02BDC">
        <w:t xml:space="preserve">isoflavones glucosides (daidzin, glycitin, genistin) was assessed over 15 min incubation at 30 ºC (Fig. 6). At the control reaction, where no enzyme was added, no hydrolysis occurred, and the 3 isoflavone glucosides remained intact. When </w:t>
      </w:r>
      <w:r w:rsidRPr="00A02BDC">
        <w:rPr>
          <w:i/>
          <w:iCs/>
        </w:rPr>
        <w:t>Ahe</w:t>
      </w:r>
      <w:r w:rsidRPr="00A02BDC">
        <w:t xml:space="preserve">GH1 was added to the reaction, 100% conversion to the correspondent aglycons, daidzein, glycitein and genistein was consistently achieved. It is important to highlight that this hydrolysis occurs in the presence of 30% DMSO in addition to 15% ethanol present in the reaction, as both solvents have been used to solubilise the isoflavone glucosides in their stock solutions. These results are in line with the findings from the activity and stability assays in the presence of different co-solvents explained </w:t>
      </w:r>
      <w:r w:rsidR="003D35BB" w:rsidRPr="00A02BDC">
        <w:t>above</w:t>
      </w:r>
      <w:r w:rsidRPr="00A02BDC">
        <w:t>.</w:t>
      </w:r>
    </w:p>
    <w:p w14:paraId="6A994F57" w14:textId="08600F08" w:rsidR="00EA56E7" w:rsidRPr="00A02BDC" w:rsidRDefault="00EA56E7" w:rsidP="0017089A">
      <w:pPr>
        <w:pStyle w:val="Caption"/>
        <w:jc w:val="center"/>
        <w:rPr>
          <w:rFonts w:cs="Arial"/>
          <w:color w:val="auto"/>
          <w:sz w:val="16"/>
          <w:szCs w:val="16"/>
        </w:rPr>
      </w:pPr>
      <w:r w:rsidRPr="00A02BDC">
        <w:rPr>
          <w:noProof/>
        </w:rPr>
        <w:lastRenderedPageBreak/>
        <w:drawing>
          <wp:inline distT="0" distB="0" distL="0" distR="0" wp14:anchorId="682D4932" wp14:editId="5AA5C388">
            <wp:extent cx="3060000" cy="2023385"/>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0000" cy="2023385"/>
                    </a:xfrm>
                    <a:prstGeom prst="rect">
                      <a:avLst/>
                    </a:prstGeom>
                  </pic:spPr>
                </pic:pic>
              </a:graphicData>
            </a:graphic>
          </wp:inline>
        </w:drawing>
      </w:r>
    </w:p>
    <w:p w14:paraId="39F1DFBF" w14:textId="58C38BB3" w:rsidR="00EA56E7" w:rsidRPr="00A02BDC" w:rsidRDefault="0017089A" w:rsidP="00EA56E7">
      <w:pPr>
        <w:pStyle w:val="Caption"/>
        <w:jc w:val="center"/>
        <w:rPr>
          <w:rFonts w:cs="Arial"/>
          <w:color w:val="000000" w:themeColor="text1"/>
          <w:sz w:val="16"/>
          <w:szCs w:val="16"/>
        </w:rPr>
      </w:pPr>
      <w:r w:rsidRPr="00A02BDC">
        <w:rPr>
          <w:rFonts w:cs="Arial"/>
          <w:color w:val="000000" w:themeColor="text1"/>
          <w:sz w:val="16"/>
          <w:szCs w:val="16"/>
        </w:rPr>
        <w:t xml:space="preserve">Figure </w:t>
      </w:r>
      <w:r w:rsidRPr="00A02BDC">
        <w:rPr>
          <w:rFonts w:cs="Arial"/>
          <w:color w:val="000000" w:themeColor="text1"/>
          <w:sz w:val="16"/>
          <w:szCs w:val="16"/>
        </w:rPr>
        <w:fldChar w:fldCharType="begin"/>
      </w:r>
      <w:r w:rsidRPr="00A02BDC">
        <w:rPr>
          <w:rFonts w:cs="Arial"/>
          <w:color w:val="000000" w:themeColor="text1"/>
          <w:sz w:val="16"/>
          <w:szCs w:val="16"/>
        </w:rPr>
        <w:instrText xml:space="preserve"> SEQ Figure \* ARABIC </w:instrText>
      </w:r>
      <w:r w:rsidRPr="00A02BDC">
        <w:rPr>
          <w:rFonts w:cs="Arial"/>
          <w:color w:val="000000" w:themeColor="text1"/>
          <w:sz w:val="16"/>
          <w:szCs w:val="16"/>
        </w:rPr>
        <w:fldChar w:fldCharType="separate"/>
      </w:r>
      <w:r w:rsidRPr="00A02BDC">
        <w:rPr>
          <w:rFonts w:cs="Arial"/>
          <w:noProof/>
          <w:color w:val="000000" w:themeColor="text1"/>
          <w:sz w:val="16"/>
          <w:szCs w:val="16"/>
        </w:rPr>
        <w:t>6</w:t>
      </w:r>
      <w:r w:rsidRPr="00A02BDC">
        <w:rPr>
          <w:rFonts w:cs="Arial"/>
          <w:color w:val="000000" w:themeColor="text1"/>
          <w:sz w:val="16"/>
          <w:szCs w:val="16"/>
        </w:rPr>
        <w:fldChar w:fldCharType="end"/>
      </w:r>
      <w:r w:rsidRPr="00A02BDC">
        <w:rPr>
          <w:rFonts w:cs="Arial"/>
          <w:color w:val="000000" w:themeColor="text1"/>
          <w:sz w:val="16"/>
          <w:szCs w:val="16"/>
        </w:rPr>
        <w:t>. Enzymatic hydrolysis of 3 glucosides: daidzin, glycitin and genistin at time 0 and after 15 min reaction at 30 ºC.</w:t>
      </w:r>
      <w:r w:rsidR="00633B49" w:rsidRPr="00A02BDC">
        <w:rPr>
          <w:rFonts w:cs="Arial"/>
          <w:color w:val="000000" w:themeColor="text1"/>
          <w:sz w:val="16"/>
          <w:szCs w:val="16"/>
        </w:rPr>
        <w:t xml:space="preserve"> </w:t>
      </w:r>
      <w:r w:rsidR="00633B49" w:rsidRPr="00A02BDC">
        <w:rPr>
          <w:color w:val="000000" w:themeColor="text1"/>
        </w:rPr>
        <w:t>Error bars represent standard deviations (n = 3).</w:t>
      </w:r>
    </w:p>
    <w:p w14:paraId="720EC23A" w14:textId="73B676A0" w:rsidR="0017089A" w:rsidRPr="00A02BDC" w:rsidRDefault="0017089A" w:rsidP="00EA56E7">
      <w:pPr>
        <w:pStyle w:val="Caption"/>
        <w:jc w:val="center"/>
        <w:rPr>
          <w:color w:val="000000" w:themeColor="text1"/>
        </w:rPr>
      </w:pPr>
      <w:r w:rsidRPr="00A02BDC">
        <w:rPr>
          <w:color w:val="000000" w:themeColor="text1"/>
        </w:rPr>
        <w:t xml:space="preserve">        </w:t>
      </w:r>
    </w:p>
    <w:p w14:paraId="3B3E17B8" w14:textId="77777777" w:rsidR="0017089A" w:rsidRPr="00A02BDC" w:rsidRDefault="0017089A" w:rsidP="00750A9C">
      <w:pPr>
        <w:pStyle w:val="Heading2"/>
        <w:numPr>
          <w:ilvl w:val="0"/>
          <w:numId w:val="0"/>
        </w:numPr>
        <w:ind w:left="576" w:hanging="576"/>
        <w:rPr>
          <w:color w:val="000000" w:themeColor="text1"/>
        </w:rPr>
      </w:pPr>
      <w:r w:rsidRPr="00A02BDC">
        <w:rPr>
          <w:color w:val="000000" w:themeColor="text1"/>
        </w:rPr>
        <w:t>Performance of Ahe</w:t>
      </w:r>
      <w:r w:rsidRPr="00A02BDC">
        <w:rPr>
          <w:i w:val="0"/>
          <w:iCs/>
          <w:color w:val="000000" w:themeColor="text1"/>
        </w:rPr>
        <w:t>GH1</w:t>
      </w:r>
      <w:r w:rsidRPr="00A02BDC">
        <w:rPr>
          <w:color w:val="000000" w:themeColor="text1"/>
        </w:rPr>
        <w:t xml:space="preserve"> over soybean flour</w:t>
      </w:r>
    </w:p>
    <w:p w14:paraId="790CFF1C" w14:textId="355B4965" w:rsidR="0017089A" w:rsidRPr="00A02BDC" w:rsidRDefault="0017089A" w:rsidP="008D2541">
      <w:pPr>
        <w:rPr>
          <w:color w:val="000000" w:themeColor="text1"/>
        </w:rPr>
      </w:pPr>
      <w:r w:rsidRPr="00A02BDC">
        <w:rPr>
          <w:color w:val="000000" w:themeColor="text1"/>
        </w:rPr>
        <w:t xml:space="preserve">Following the initial testing of </w:t>
      </w:r>
      <w:r w:rsidRPr="00A02BDC">
        <w:rPr>
          <w:i/>
          <w:iCs/>
          <w:color w:val="000000" w:themeColor="text1"/>
        </w:rPr>
        <w:t>Ahe</w:t>
      </w:r>
      <w:r w:rsidRPr="00A02BDC">
        <w:rPr>
          <w:color w:val="000000" w:themeColor="text1"/>
        </w:rPr>
        <w:t>GH1</w:t>
      </w:r>
      <w:r w:rsidRPr="00A02BDC">
        <w:rPr>
          <w:i/>
          <w:iCs/>
          <w:color w:val="000000" w:themeColor="text1"/>
        </w:rPr>
        <w:t xml:space="preserve"> </w:t>
      </w:r>
      <w:r w:rsidRPr="00A02BDC">
        <w:rPr>
          <w:color w:val="000000" w:themeColor="text1"/>
        </w:rPr>
        <w:t xml:space="preserve">with the synthetic isoflavone glucosides, the performance of the enzyme was tested with a real isoflavone mixture extracted from soybean flour. In this case, the reaction was followed over time to monitor the hydrolysis of the isoflavone glucosides and aliquots were taken from the biotransformation at time 0 and after 15 min, 30 min, 1 h, 3 h, 24 h and 48 h. The evolution in the hydrolysis rate achieved by </w:t>
      </w:r>
      <w:r w:rsidRPr="00A02BDC">
        <w:rPr>
          <w:i/>
          <w:iCs/>
          <w:color w:val="000000" w:themeColor="text1"/>
        </w:rPr>
        <w:t>Ahe</w:t>
      </w:r>
      <w:r w:rsidRPr="00A02BDC">
        <w:rPr>
          <w:color w:val="000000" w:themeColor="text1"/>
        </w:rPr>
        <w:t>GH1 is represented in</w:t>
      </w:r>
      <w:r w:rsidRPr="00A02BDC">
        <w:rPr>
          <w:i/>
          <w:iCs/>
          <w:color w:val="000000" w:themeColor="text1"/>
        </w:rPr>
        <w:t xml:space="preserve"> </w:t>
      </w:r>
      <w:r w:rsidRPr="00A02BDC">
        <w:rPr>
          <w:color w:val="000000" w:themeColor="text1"/>
        </w:rPr>
        <w:t xml:space="preserve">Fig. 7. </w:t>
      </w:r>
    </w:p>
    <w:p w14:paraId="3C48C45D" w14:textId="001AF66E" w:rsidR="00144AF2" w:rsidRPr="00A02BDC" w:rsidRDefault="00144AF2" w:rsidP="0017089A">
      <w:pPr>
        <w:pStyle w:val="Caption"/>
        <w:jc w:val="center"/>
        <w:rPr>
          <w:rFonts w:cs="Arial"/>
          <w:color w:val="000000" w:themeColor="text1"/>
          <w:sz w:val="16"/>
          <w:szCs w:val="16"/>
        </w:rPr>
      </w:pPr>
      <w:r w:rsidRPr="00A02BDC">
        <w:rPr>
          <w:noProof/>
          <w:color w:val="000000" w:themeColor="text1"/>
        </w:rPr>
        <w:drawing>
          <wp:inline distT="0" distB="0" distL="0" distR="0" wp14:anchorId="256C8BCA" wp14:editId="5C5ACA13">
            <wp:extent cx="3600000" cy="1776096"/>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1776096"/>
                    </a:xfrm>
                    <a:prstGeom prst="rect">
                      <a:avLst/>
                    </a:prstGeom>
                  </pic:spPr>
                </pic:pic>
              </a:graphicData>
            </a:graphic>
          </wp:inline>
        </w:drawing>
      </w:r>
    </w:p>
    <w:p w14:paraId="02A3D2D5" w14:textId="1FE4F9B8" w:rsidR="0017089A" w:rsidRPr="00A02BDC" w:rsidRDefault="0017089A" w:rsidP="0017089A">
      <w:pPr>
        <w:pStyle w:val="Caption"/>
        <w:jc w:val="center"/>
        <w:rPr>
          <w:noProof/>
          <w:color w:val="000000" w:themeColor="text1"/>
        </w:rPr>
      </w:pPr>
      <w:r w:rsidRPr="00A02BDC">
        <w:rPr>
          <w:rFonts w:cs="Arial"/>
          <w:color w:val="000000" w:themeColor="text1"/>
          <w:sz w:val="16"/>
          <w:szCs w:val="16"/>
        </w:rPr>
        <w:t xml:space="preserve">Figure </w:t>
      </w:r>
      <w:r w:rsidRPr="00A02BDC">
        <w:rPr>
          <w:rFonts w:cs="Arial"/>
          <w:color w:val="000000" w:themeColor="text1"/>
          <w:sz w:val="16"/>
          <w:szCs w:val="16"/>
        </w:rPr>
        <w:fldChar w:fldCharType="begin"/>
      </w:r>
      <w:r w:rsidRPr="00A02BDC">
        <w:rPr>
          <w:rFonts w:cs="Arial"/>
          <w:color w:val="000000" w:themeColor="text1"/>
          <w:sz w:val="16"/>
          <w:szCs w:val="16"/>
        </w:rPr>
        <w:instrText xml:space="preserve"> SEQ Figure \* ARABIC </w:instrText>
      </w:r>
      <w:r w:rsidRPr="00A02BDC">
        <w:rPr>
          <w:rFonts w:cs="Arial"/>
          <w:color w:val="000000" w:themeColor="text1"/>
          <w:sz w:val="16"/>
          <w:szCs w:val="16"/>
        </w:rPr>
        <w:fldChar w:fldCharType="separate"/>
      </w:r>
      <w:r w:rsidRPr="00A02BDC">
        <w:rPr>
          <w:rFonts w:cs="Arial"/>
          <w:noProof/>
          <w:color w:val="000000" w:themeColor="text1"/>
          <w:sz w:val="16"/>
          <w:szCs w:val="16"/>
        </w:rPr>
        <w:t>7</w:t>
      </w:r>
      <w:r w:rsidRPr="00A02BDC">
        <w:rPr>
          <w:rFonts w:cs="Arial"/>
          <w:color w:val="000000" w:themeColor="text1"/>
          <w:sz w:val="16"/>
          <w:szCs w:val="16"/>
        </w:rPr>
        <w:fldChar w:fldCharType="end"/>
      </w:r>
      <w:r w:rsidRPr="00A02BDC">
        <w:rPr>
          <w:rFonts w:cs="Arial"/>
          <w:color w:val="000000" w:themeColor="text1"/>
          <w:sz w:val="16"/>
          <w:szCs w:val="16"/>
        </w:rPr>
        <w:t>. Hydrolysis reaction over soybean isoflavones glucosides at time 0, after 15 m, 30 m, 1 h, 3 h, 24 h and 48 h at 30 ºC when AheGH1 is present in the reaction.</w:t>
      </w:r>
      <w:r w:rsidR="00633B49" w:rsidRPr="00A02BDC">
        <w:rPr>
          <w:rFonts w:cs="Arial"/>
          <w:color w:val="000000" w:themeColor="text1"/>
          <w:sz w:val="16"/>
          <w:szCs w:val="16"/>
        </w:rPr>
        <w:t xml:space="preserve"> </w:t>
      </w:r>
      <w:r w:rsidR="00633B49" w:rsidRPr="00A02BDC">
        <w:rPr>
          <w:color w:val="000000" w:themeColor="text1"/>
        </w:rPr>
        <w:t>Error bars represent standard deviations (n = 3).</w:t>
      </w:r>
    </w:p>
    <w:p w14:paraId="61DBDA04" w14:textId="77777777" w:rsidR="0017089A" w:rsidRPr="00A02BDC" w:rsidRDefault="0017089A" w:rsidP="0017089A"/>
    <w:p w14:paraId="4A47C4D7" w14:textId="49F0364E" w:rsidR="0017089A" w:rsidRPr="00A02BDC" w:rsidRDefault="0017089A" w:rsidP="0017089A">
      <w:pPr>
        <w:jc w:val="both"/>
      </w:pPr>
      <w:r w:rsidRPr="00A02BDC">
        <w:t xml:space="preserve">Within 15 min of incubation, almost no isoflavone glucosides remained in the mixture, matching what had been observed with the pure standards. However, the amount of aglycons in the sample treated with </w:t>
      </w:r>
      <w:r w:rsidRPr="00A02BDC">
        <w:rPr>
          <w:i/>
          <w:iCs/>
        </w:rPr>
        <w:t>Ahe</w:t>
      </w:r>
      <w:r w:rsidRPr="00A02BDC">
        <w:t xml:space="preserve">GH1 continued to increase as the incubation time progresses. Concurrently, a decrease in two additional peaks was observed, which matched the standards malonyl daidzin and </w:t>
      </w:r>
      <w:r w:rsidRPr="00A02BDC">
        <w:lastRenderedPageBreak/>
        <w:t>malonyl genistin (Figure</w:t>
      </w:r>
      <w:r w:rsidR="003D35BB" w:rsidRPr="00A02BDC">
        <w:t>s</w:t>
      </w:r>
      <w:r w:rsidRPr="00A02BDC">
        <w:t xml:space="preserve"> S</w:t>
      </w:r>
      <w:r w:rsidR="000633D5" w:rsidRPr="00A02BDC">
        <w:t>8</w:t>
      </w:r>
      <w:r w:rsidR="003D35BB" w:rsidRPr="00A02BDC">
        <w:t>-</w:t>
      </w:r>
      <w:r w:rsidR="00FB5DD3" w:rsidRPr="00A02BDC">
        <w:t>1</w:t>
      </w:r>
      <w:r w:rsidR="000633D5" w:rsidRPr="00A02BDC">
        <w:t>3</w:t>
      </w:r>
      <w:r w:rsidRPr="00A02BDC">
        <w:t xml:space="preserve">).  The hydrolytic capacity of </w:t>
      </w:r>
      <w:r w:rsidRPr="00A02BDC">
        <w:rPr>
          <w:i/>
          <w:iCs/>
        </w:rPr>
        <w:t>Ahe</w:t>
      </w:r>
      <w:r w:rsidRPr="00A02BDC">
        <w:t xml:space="preserve">GH1 had initially only been evaluated towards </w:t>
      </w:r>
      <w:r w:rsidRPr="00A02BDC">
        <w:rPr>
          <w:lang w:val="en-AU"/>
        </w:rPr>
        <w:t>the 7-</w:t>
      </w:r>
      <w:r w:rsidRPr="00A02BDC">
        <w:rPr>
          <w:i/>
          <w:iCs/>
          <w:lang w:val="en-AU"/>
        </w:rPr>
        <w:t>O</w:t>
      </w:r>
      <w:r w:rsidRPr="00A02BDC">
        <w:rPr>
          <w:lang w:val="en-AU"/>
        </w:rPr>
        <w:t>-</w:t>
      </w:r>
      <w:r w:rsidRPr="00A02BDC">
        <w:rPr>
          <w:rFonts w:cs="Times New Roman"/>
          <w:lang w:val="en-AU"/>
        </w:rPr>
        <w:t>β</w:t>
      </w:r>
      <w:r w:rsidRPr="00A02BDC">
        <w:rPr>
          <w:lang w:val="en-AU"/>
        </w:rPr>
        <w:t xml:space="preserve">-D-glucosides </w:t>
      </w:r>
      <w:r w:rsidRPr="00A02BDC">
        <w:t>daidzin, glycitin and genistin. After quantification, the increase in aglycons closely matched the decrease observed for the malonyl-glucosides (Fig. 7), confirming that the enzyme was also capable of hydrolysing this form, albeit at a slower rate.</w:t>
      </w:r>
    </w:p>
    <w:p w14:paraId="7664E7A9" w14:textId="77777777" w:rsidR="003F3256" w:rsidRPr="00A02BDC" w:rsidRDefault="003F3256" w:rsidP="00750A9C">
      <w:pPr>
        <w:pStyle w:val="Heading1"/>
        <w:numPr>
          <w:ilvl w:val="0"/>
          <w:numId w:val="0"/>
        </w:numPr>
        <w:ind w:left="432" w:hanging="432"/>
      </w:pPr>
      <w:r w:rsidRPr="00A02BDC">
        <w:t>Conclusions</w:t>
      </w:r>
    </w:p>
    <w:p w14:paraId="18183FE0" w14:textId="77777777" w:rsidR="003F3256" w:rsidRPr="00A02BDC" w:rsidRDefault="003F3256" w:rsidP="003F3256">
      <w:pPr>
        <w:jc w:val="both"/>
        <w:rPr>
          <w:rFonts w:cs="Times New Roman"/>
        </w:rPr>
      </w:pPr>
      <w:r w:rsidRPr="00A02BDC">
        <w:t xml:space="preserve">The extremozyme </w:t>
      </w:r>
      <w:r w:rsidRPr="00A02BDC">
        <w:rPr>
          <w:i/>
          <w:iCs/>
        </w:rPr>
        <w:t>Ahe</w:t>
      </w:r>
      <w:r w:rsidRPr="00A02BDC">
        <w:t>GH1</w:t>
      </w:r>
      <w:r w:rsidRPr="00A02BDC">
        <w:rPr>
          <w:i/>
          <w:iCs/>
        </w:rPr>
        <w:t xml:space="preserve"> </w:t>
      </w:r>
      <w:r w:rsidRPr="00A02BDC">
        <w:t xml:space="preserve">was successfully cloned, purified and characterized. Its performance was tested under different conditions usually found in food industrial processes such as glucose, fructose, different co-solvents, broad range of temperatures and pH values showing promising results. The enzyme showed </w:t>
      </w:r>
      <w:r w:rsidRPr="00A02BDC">
        <w:rPr>
          <w:rFonts w:cs="Times New Roman"/>
        </w:rPr>
        <w:t xml:space="preserve">good tolerance to sugar (glucose and fructose) along with excellent performance in the presence of organic solvents, in particular ethanol. </w:t>
      </w:r>
      <w:r w:rsidRPr="00A02BDC">
        <w:rPr>
          <w:rFonts w:cs="Times New Roman"/>
          <w:i/>
          <w:iCs/>
        </w:rPr>
        <w:t>Ahe</w:t>
      </w:r>
      <w:r w:rsidRPr="00A02BDC">
        <w:rPr>
          <w:rFonts w:cs="Times New Roman"/>
        </w:rPr>
        <w:t>GH1 also exhibited wide pH-stability and broad thermostability, making of it an outstanding candidate for its application in the food industry.</w:t>
      </w:r>
    </w:p>
    <w:p w14:paraId="156FA5FC" w14:textId="1165080A" w:rsidR="0017089A" w:rsidRPr="00A02BDC" w:rsidRDefault="003F3256" w:rsidP="004A2FCA">
      <w:pPr>
        <w:jc w:val="both"/>
      </w:pPr>
      <w:r w:rsidRPr="00A02BDC">
        <w:rPr>
          <w:rFonts w:cs="Times New Roman"/>
        </w:rPr>
        <w:t xml:space="preserve">As a particular example, the evaluation of the hydrolytic capacity of </w:t>
      </w:r>
      <w:r w:rsidRPr="00A02BDC">
        <w:rPr>
          <w:rFonts w:cs="Times New Roman"/>
          <w:i/>
          <w:iCs/>
        </w:rPr>
        <w:t>Ahe</w:t>
      </w:r>
      <w:r w:rsidRPr="00A02BDC">
        <w:rPr>
          <w:rFonts w:cs="Times New Roman"/>
        </w:rPr>
        <w:t>GH1</w:t>
      </w:r>
      <w:r w:rsidRPr="00A02BDC">
        <w:rPr>
          <w:rFonts w:cs="Times New Roman"/>
          <w:i/>
          <w:iCs/>
        </w:rPr>
        <w:t xml:space="preserve"> </w:t>
      </w:r>
      <w:r w:rsidRPr="00A02BDC">
        <w:rPr>
          <w:rFonts w:cs="Times New Roman"/>
        </w:rPr>
        <w:t>towards the most common isoflavone glucosides found in soybeans, concluded that the enzyme can efficiently convert isoflavone glucosides into aglycones, and hence, it constitutes a promising candidate for the enzymatic production of soybean isoflavones.</w:t>
      </w:r>
    </w:p>
    <w:p w14:paraId="0EED36CA" w14:textId="6BF216FC" w:rsidR="00293C36" w:rsidRPr="00A02BDC" w:rsidRDefault="003F3256" w:rsidP="00750A9C">
      <w:pPr>
        <w:pStyle w:val="Heading1"/>
        <w:numPr>
          <w:ilvl w:val="0"/>
          <w:numId w:val="0"/>
        </w:numPr>
        <w:ind w:left="432" w:hanging="432"/>
        <w:rPr>
          <w:rFonts w:cs="Times New Roman"/>
          <w:lang w:val="en-AU"/>
        </w:rPr>
      </w:pPr>
      <w:r w:rsidRPr="00A02BDC">
        <w:rPr>
          <w:lang w:val="en-AU"/>
        </w:rPr>
        <w:t>Experimental Section</w:t>
      </w:r>
    </w:p>
    <w:p w14:paraId="5A21FB4D" w14:textId="38B78E2A" w:rsidR="00046F2A" w:rsidRPr="00A02BDC" w:rsidRDefault="00DE6351" w:rsidP="00750A9C">
      <w:pPr>
        <w:pStyle w:val="Heading2"/>
        <w:numPr>
          <w:ilvl w:val="0"/>
          <w:numId w:val="0"/>
        </w:numPr>
        <w:ind w:left="576" w:hanging="576"/>
        <w:jc w:val="both"/>
        <w:rPr>
          <w:lang w:val="en-AU"/>
        </w:rPr>
      </w:pPr>
      <w:r w:rsidRPr="00A02BDC">
        <w:rPr>
          <w:lang w:val="en-AU"/>
        </w:rPr>
        <w:t>Chemicals</w:t>
      </w:r>
      <w:r w:rsidR="009A3CCE" w:rsidRPr="00A02BDC">
        <w:rPr>
          <w:lang w:val="en-AU"/>
        </w:rPr>
        <w:t xml:space="preserve"> and materials</w:t>
      </w:r>
    </w:p>
    <w:p w14:paraId="470CF907" w14:textId="4D1A557F" w:rsidR="006F19EC" w:rsidRPr="00A02BDC" w:rsidRDefault="006F19EC" w:rsidP="006F19EC">
      <w:pPr>
        <w:jc w:val="both"/>
      </w:pPr>
      <w:r w:rsidRPr="00A02BDC">
        <w:t>Commercially available reagents</w:t>
      </w:r>
      <w:r w:rsidR="002A0EF7" w:rsidRPr="00A02BDC">
        <w:t>, organic solvents,</w:t>
      </w:r>
      <w:r w:rsidRPr="00A02BDC">
        <w:t xml:space="preserve"> and media were purchased from ACROS </w:t>
      </w:r>
      <w:r w:rsidR="008C3736" w:rsidRPr="00A02BDC">
        <w:t>Organics, Thermo</w:t>
      </w:r>
      <w:r w:rsidRPr="00A02BDC">
        <w:t xml:space="preserve"> Fisher Scientific</w:t>
      </w:r>
      <w:r w:rsidR="002A0EF7" w:rsidRPr="00A02BDC">
        <w:t>,</w:t>
      </w:r>
      <w:r w:rsidRPr="00A02BDC">
        <w:t xml:space="preserve"> Merck</w:t>
      </w:r>
      <w:r w:rsidR="002A0EF7" w:rsidRPr="00A02BDC">
        <w:t>, or</w:t>
      </w:r>
      <w:r w:rsidRPr="00A02BDC">
        <w:t xml:space="preserve"> Sigma-Aldrich.</w:t>
      </w:r>
      <w:r w:rsidR="006341D1" w:rsidRPr="00A02BDC">
        <w:t xml:space="preserve"> </w:t>
      </w:r>
      <w:r w:rsidR="00266887" w:rsidRPr="00A02BDC">
        <w:t>The s</w:t>
      </w:r>
      <w:r w:rsidRPr="00A02BDC">
        <w:t xml:space="preserve">ynthetic gene was purchased from Thermo and plasmid DNA purification kit from Macherey-Nagel. DNA ladder, protein marker and restriction were purchased from New England Biolabs. </w:t>
      </w:r>
    </w:p>
    <w:p w14:paraId="74D5BEFD" w14:textId="52ADBA04" w:rsidR="006F19EC" w:rsidRPr="00A02BDC" w:rsidRDefault="006F19EC" w:rsidP="006F19EC">
      <w:pPr>
        <w:jc w:val="both"/>
      </w:pPr>
      <w:r w:rsidRPr="00A02BDC">
        <w:t>Soybean flour and isoflavone standards were purchased from Merk</w:t>
      </w:r>
      <w:r w:rsidR="00F07C7A" w:rsidRPr="00A02BDC">
        <w:t xml:space="preserve"> and Carbosynth</w:t>
      </w:r>
      <w:r w:rsidRPr="00A02BDC">
        <w:t>.</w:t>
      </w:r>
    </w:p>
    <w:p w14:paraId="6AF46B32" w14:textId="40F3993F" w:rsidR="00C77A85" w:rsidRPr="00A02BDC" w:rsidRDefault="00C77A85" w:rsidP="00750A9C">
      <w:pPr>
        <w:pStyle w:val="Heading2"/>
        <w:numPr>
          <w:ilvl w:val="0"/>
          <w:numId w:val="0"/>
        </w:numPr>
        <w:ind w:left="576" w:hanging="576"/>
        <w:rPr>
          <w:lang w:val="en-AU"/>
        </w:rPr>
      </w:pPr>
      <w:r w:rsidRPr="00A02BDC">
        <w:rPr>
          <w:lang w:val="en-AU"/>
        </w:rPr>
        <w:lastRenderedPageBreak/>
        <w:t>Discovery of Ahe sequence</w:t>
      </w:r>
    </w:p>
    <w:p w14:paraId="5C4ACBB8" w14:textId="3041799C" w:rsidR="00C77A85" w:rsidRPr="00A02BDC" w:rsidRDefault="00C77A85" w:rsidP="002A4D86">
      <w:pPr>
        <w:rPr>
          <w:lang w:val="en-AU"/>
        </w:rPr>
      </w:pPr>
      <w:r w:rsidRPr="00A02BDC">
        <w:rPr>
          <w:lang w:val="en-AU"/>
        </w:rPr>
        <w:t xml:space="preserve">A protein BLAST search was performed using the sequence of the </w:t>
      </w:r>
      <w:r w:rsidR="00F864F2" w:rsidRPr="00A02BDC">
        <w:rPr>
          <w:lang w:val="en-AU"/>
        </w:rPr>
        <w:t xml:space="preserve">halophilic </w:t>
      </w:r>
      <w:r w:rsidRPr="00A02BDC">
        <w:rPr>
          <w:rFonts w:cs="Times New Roman"/>
        </w:rPr>
        <w:t>β</w:t>
      </w:r>
      <w:r w:rsidRPr="00A02BDC">
        <w:rPr>
          <w:lang w:val="en-AU"/>
        </w:rPr>
        <w:t xml:space="preserve">-glucosidase </w:t>
      </w:r>
      <w:r w:rsidRPr="00A02BDC">
        <w:rPr>
          <w:i/>
          <w:iCs/>
          <w:lang w:val="en-AU"/>
        </w:rPr>
        <w:t>BglA</w:t>
      </w:r>
      <w:r w:rsidR="00850201" w:rsidRPr="00A02BDC">
        <w:rPr>
          <w:i/>
          <w:iCs/>
          <w:lang w:val="en-AU"/>
        </w:rPr>
        <w:t xml:space="preserve"> </w:t>
      </w:r>
      <w:r w:rsidR="00850201" w:rsidRPr="00A02BDC">
        <w:rPr>
          <w:lang w:val="en-AU"/>
        </w:rPr>
        <w:t xml:space="preserve">from </w:t>
      </w:r>
      <w:r w:rsidR="00850201" w:rsidRPr="00A02BDC">
        <w:rPr>
          <w:i/>
          <w:iCs/>
          <w:lang w:val="en-AU"/>
        </w:rPr>
        <w:t>Halothermothrix orenii</w:t>
      </w:r>
      <w:r w:rsidR="00F864F2" w:rsidRPr="00A02BDC">
        <w:rPr>
          <w:i/>
          <w:iCs/>
          <w:lang w:val="en-AU"/>
        </w:rPr>
        <w:fldChar w:fldCharType="begin" w:fldLock="1"/>
      </w:r>
      <w:r w:rsidR="00881F49" w:rsidRPr="00A02BDC">
        <w:rPr>
          <w:i/>
          <w:iCs/>
          <w:lang w:val="en-AU"/>
        </w:rPr>
        <w:instrText>ADDIN CSL_CITATION {"citationItems":[{"id":"ITEM-1","itemData":{"DOI":"10.1016/j.enzmictec.2013.10.011","ISBN":"1879-0909 (Electronic)\\r0141-0229 (Linking)","ISSN":"18790909","PMID":"24411459","abstract":"Over the past few decades the extremes at which life thrives has continued to challenge our understanding of physiology, biochemistry, microbial ecology and evolution. Innovative culturing approaches, environmental genome sequencing, and whole genome sequencing have provided new opportunities for the biotechnological exploration of extremophiles. The whole genome sequencing of H. orenii has provided valuable insights not only into the survival and adaptation strategies of thermohalophiles but has also led to the identification of genes encoding biotechnologically relevant enzymes. The present review focuses on the purified and characterized enzymes from H. orenii including amylases, ??-glucosidase, fructokinase, and ribokinase - along with uncharacterized but industrially important enzymes encoded by the genes identified in the genome such as ??-galactosidases, mannosidases, pullulanases, chitinases, ??-L-arabinofuranosidases and other glycosyl hydrolases of commercial interest. This review highlights the importance of the enzymes and their applications in different sectors and why future research for exploring the enzymatic machinery of H. orenii should focus on the expression, purification, and characterization of the novel proteins in H. orenii and their feasible application to pertinent industrial sectors. H. orenii is an anaerobe; genome sequencing studies have also revealed the presence of enzymes for gluconeogenesis and fermentation to ethanol and acetate, making H. orenii an attractive strain for the conversion of starch into bioethanol. ?? 2013 Elsevier Inc.","author":[{"dropping-particle":"","family":"Bhattacharya","given":"Abhishek","non-dropping-particle":"","parse-names":false,"suffix":""},{"dropping-particle":"","family":"Pletschke","given":"Brett I.","non-dropping-particle":"","parse-names":false,"suffix":""}],"container-title":"Enzyme and Microbial Technology","id":"ITEM-1","issued":{"date-parts":[["2014"]]},"page":"159-169","publisher":"Elsevier Inc.","title":"Review of the enzymatic machinery of Halothermothrix orenii with special reference to industrial applications","type":"article-journal","volume":"55"},"uris":["http://www.mendeley.com/documents/?uuid=54b67ff1-e68f-4e0d-b5bb-e636c25e4582","http://www.mendeley.com/documents/?uuid=cb30372f-6065-48a8-954e-b6ecc1527f36"]},{"id":"ITEM-2","itemData":{"DOI":"10.1016/j.foodchem.2020.126825","ISSN":"03088146","abstract":"$β$-Glycosidases enhance wine aroma by releasing volatile aglycones from non-volatile glycosides. Commercial preparations contain primarily pectinases, with $β$-glycosidase as a secondary activity, which limits their potential. Here, the extremophilic $β$-glucosidase A from Halothermothix orenii, (BglA) has been compared with Rapidase®for the production of aromatic wines and in the remediation of smoke-tainted wines. Model systems, real juices and wines have been enriched with geranyl glucoside, typical of white varieties, and guaiacyl glucoside, commonly found in red wines exposed to oak and wines made from grapes exposed to smoke. The hydrolytic capacity of BglA was evaluated by measuring the released volatiles in the gas phase with solid-phase microextraction and GC–MS. BglA, despite an apparent instability at low pH, is twice as effective in releasing volatiles in sweeter wines and in grape juices, offering an excellent alternative for the early stages of the winemaking process and in the juice industry.","author":[{"dropping-particle":"","family":"Delgado","given":"Lidia","non-dropping-particle":"","parse-names":false,"suffix":""},{"dropping-particle":"","family":"Parker","given":"Mango","non-dropping-particle":"","parse-names":false,"suffix":""},{"dropping-particle":"","family":"Fisk","given":"Ian","non-dropping-particle":"","parse-names":false,"suffix":""},{"dropping-particle":"","family":"Paradisi","given":"Francesca","non-dropping-particle":"","parse-names":false,"suffix":""}],"container-title":"Food Chemistry","id":"ITEM-2","issue":"January","issued":{"date-parts":[["2020"]]},"page":"126825","publisher":"Elsevier","title":"Performance of the extremophilic enzyme BglA in the hydrolysis of two aroma glucosides in a range of model and real wines and juices","type":"article-journal","volume":"323"},"uris":["http://www.mendeley.com/documents/?uuid=5dc6a7e9-f4df-407a-aed4-049e71ab6770"]}],"mendeley":{"formattedCitation":"&lt;sup&gt;[43,44]&lt;/sup&gt;","plainTextFormattedCitation":"[43,44]","previouslyFormattedCitation":"&lt;sup&gt;[42,43]&lt;/sup&gt;"},"properties":{"noteIndex":0},"schema":"https://github.com/citation-style-language/schema/raw/master/csl-citation.json"}</w:instrText>
      </w:r>
      <w:r w:rsidR="00F864F2" w:rsidRPr="00A02BDC">
        <w:rPr>
          <w:i/>
          <w:iCs/>
          <w:lang w:val="en-AU"/>
        </w:rPr>
        <w:fldChar w:fldCharType="separate"/>
      </w:r>
      <w:r w:rsidR="00881F49" w:rsidRPr="00A02BDC">
        <w:rPr>
          <w:iCs/>
          <w:noProof/>
          <w:vertAlign w:val="superscript"/>
          <w:lang w:val="en-AU"/>
        </w:rPr>
        <w:t>[43,44]</w:t>
      </w:r>
      <w:r w:rsidR="00F864F2" w:rsidRPr="00A02BDC">
        <w:rPr>
          <w:i/>
          <w:iCs/>
          <w:lang w:val="en-AU"/>
        </w:rPr>
        <w:fldChar w:fldCharType="end"/>
      </w:r>
      <w:r w:rsidRPr="00A02BDC">
        <w:rPr>
          <w:lang w:val="en-AU"/>
        </w:rPr>
        <w:t xml:space="preserve"> against the Alicyclobacillus genera. </w:t>
      </w:r>
      <w:r w:rsidRPr="00A02BDC">
        <w:rPr>
          <w:i/>
          <w:iCs/>
          <w:lang w:val="en-AU"/>
        </w:rPr>
        <w:t>BglA</w:t>
      </w:r>
      <w:r w:rsidRPr="00A02BDC">
        <w:rPr>
          <w:lang w:val="en-AU"/>
        </w:rPr>
        <w:t xml:space="preserve"> was used as model protein for its excellent activity and stability </w:t>
      </w:r>
      <w:r w:rsidR="006E78BF" w:rsidRPr="00A02BDC">
        <w:rPr>
          <w:lang w:val="en-AU"/>
        </w:rPr>
        <w:t>o</w:t>
      </w:r>
      <w:r w:rsidRPr="00A02BDC">
        <w:rPr>
          <w:lang w:val="en-AU"/>
        </w:rPr>
        <w:t xml:space="preserve">n a broad variety of conditions. Alicyclobacillus </w:t>
      </w:r>
      <w:r w:rsidR="00F864F2" w:rsidRPr="00A02BDC">
        <w:rPr>
          <w:lang w:val="en-AU"/>
        </w:rPr>
        <w:t xml:space="preserve">genera </w:t>
      </w:r>
      <w:r w:rsidRPr="00A02BDC">
        <w:rPr>
          <w:lang w:val="en-AU"/>
        </w:rPr>
        <w:t xml:space="preserve">was selected </w:t>
      </w:r>
      <w:r w:rsidR="00F864F2" w:rsidRPr="00A02BDC">
        <w:rPr>
          <w:lang w:val="en-AU"/>
        </w:rPr>
        <w:t xml:space="preserve">because </w:t>
      </w:r>
      <w:r w:rsidR="00850201" w:rsidRPr="00A02BDC">
        <w:rPr>
          <w:lang w:val="en-AU"/>
        </w:rPr>
        <w:t xml:space="preserve">of </w:t>
      </w:r>
      <w:r w:rsidR="00F864F2" w:rsidRPr="00A02BDC">
        <w:rPr>
          <w:lang w:val="en-AU"/>
        </w:rPr>
        <w:t>its acidophilic properties.</w:t>
      </w:r>
      <w:r w:rsidRPr="00A02BDC">
        <w:rPr>
          <w:lang w:val="en-AU"/>
        </w:rPr>
        <w:t xml:space="preserve"> Candidate sequences </w:t>
      </w:r>
      <w:r w:rsidR="00F864F2" w:rsidRPr="00A02BDC">
        <w:rPr>
          <w:lang w:val="en-AU"/>
        </w:rPr>
        <w:t xml:space="preserve">from different Alicyclobacillus species were obtained, </w:t>
      </w:r>
      <w:r w:rsidR="00850201" w:rsidRPr="00A02BDC">
        <w:rPr>
          <w:lang w:val="en-AU"/>
        </w:rPr>
        <w:t xml:space="preserve">and </w:t>
      </w:r>
      <w:r w:rsidR="00F864F2" w:rsidRPr="00A02BDC">
        <w:rPr>
          <w:i/>
          <w:iCs/>
          <w:lang w:val="en-AU"/>
        </w:rPr>
        <w:t>Ah</w:t>
      </w:r>
      <w:r w:rsidR="006E78BF" w:rsidRPr="00A02BDC">
        <w:rPr>
          <w:i/>
          <w:iCs/>
          <w:lang w:val="en-AU"/>
        </w:rPr>
        <w:t>e</w:t>
      </w:r>
      <w:r w:rsidR="00F864F2" w:rsidRPr="00A02BDC">
        <w:rPr>
          <w:lang w:val="en-AU"/>
        </w:rPr>
        <w:t xml:space="preserve"> </w:t>
      </w:r>
      <w:r w:rsidR="00850201" w:rsidRPr="00A02BDC">
        <w:rPr>
          <w:lang w:val="en-AU"/>
        </w:rPr>
        <w:t>was selected for</w:t>
      </w:r>
      <w:r w:rsidR="00F864F2" w:rsidRPr="00A02BDC">
        <w:rPr>
          <w:lang w:val="en-AU"/>
        </w:rPr>
        <w:t xml:space="preserve"> showing better tolerance to acidic pH. </w:t>
      </w:r>
    </w:p>
    <w:p w14:paraId="37A2BABD" w14:textId="49DAD399" w:rsidR="00046F2A" w:rsidRPr="00A02BDC" w:rsidRDefault="008F7FA3" w:rsidP="00750A9C">
      <w:pPr>
        <w:pStyle w:val="Heading2"/>
        <w:numPr>
          <w:ilvl w:val="0"/>
          <w:numId w:val="0"/>
        </w:numPr>
        <w:ind w:left="576" w:hanging="576"/>
        <w:rPr>
          <w:lang w:val="en-AU"/>
        </w:rPr>
      </w:pPr>
      <w:r w:rsidRPr="00A02BDC">
        <w:rPr>
          <w:lang w:val="en-AU"/>
        </w:rPr>
        <w:t>Microbial strains</w:t>
      </w:r>
      <w:r w:rsidR="00482608" w:rsidRPr="00A02BDC">
        <w:rPr>
          <w:lang w:val="en-AU"/>
        </w:rPr>
        <w:t xml:space="preserve"> and plasmids</w:t>
      </w:r>
    </w:p>
    <w:p w14:paraId="2FFD9B9A" w14:textId="1A9F0501" w:rsidR="003D474B" w:rsidRPr="00A02BDC" w:rsidRDefault="003F6CFA" w:rsidP="003D474B">
      <w:pPr>
        <w:jc w:val="both"/>
        <w:rPr>
          <w:lang w:val="en-AU"/>
        </w:rPr>
      </w:pPr>
      <w:r w:rsidRPr="00A02BDC">
        <w:rPr>
          <w:lang w:val="en-AU"/>
        </w:rPr>
        <w:t>The s</w:t>
      </w:r>
      <w:r w:rsidR="003D474B" w:rsidRPr="00A02BDC">
        <w:rPr>
          <w:lang w:val="en-AU"/>
        </w:rPr>
        <w:t xml:space="preserve">ynthetic gene coding for </w:t>
      </w:r>
      <w:r w:rsidRPr="00A02BDC">
        <w:rPr>
          <w:i/>
          <w:iCs/>
          <w:lang w:val="en-AU"/>
        </w:rPr>
        <w:t xml:space="preserve">Alicyclobacillus herbarius </w:t>
      </w:r>
      <w:r w:rsidRPr="00A02BDC">
        <w:rPr>
          <w:rFonts w:cs="Times New Roman"/>
          <w:lang w:val="en-AU"/>
        </w:rPr>
        <w:t>β</w:t>
      </w:r>
      <w:r w:rsidRPr="00A02BDC">
        <w:rPr>
          <w:lang w:val="en-AU"/>
        </w:rPr>
        <w:t>-GH1 (</w:t>
      </w:r>
      <w:r w:rsidRPr="00A02BDC">
        <w:rPr>
          <w:i/>
          <w:iCs/>
          <w:lang w:val="en-AU"/>
        </w:rPr>
        <w:t>Ahe</w:t>
      </w:r>
      <w:r w:rsidR="00D20C45" w:rsidRPr="00A02BDC">
        <w:rPr>
          <w:lang w:val="en-AU"/>
        </w:rPr>
        <w:t>GH1</w:t>
      </w:r>
      <w:r w:rsidRPr="00A02BDC">
        <w:rPr>
          <w:lang w:val="en-AU"/>
        </w:rPr>
        <w:t>)</w:t>
      </w:r>
      <w:r w:rsidR="003D474B" w:rsidRPr="00A02BDC">
        <w:rPr>
          <w:lang w:val="en-AU"/>
        </w:rPr>
        <w:t xml:space="preserve">, with restriction enzymes BamHI and HindIII flanking the sequences as restriction sites, </w:t>
      </w:r>
      <w:r w:rsidR="00266887" w:rsidRPr="00A02BDC">
        <w:rPr>
          <w:lang w:val="en-AU"/>
        </w:rPr>
        <w:t xml:space="preserve">was codon </w:t>
      </w:r>
      <w:r w:rsidR="003D474B" w:rsidRPr="00A02BDC">
        <w:rPr>
          <w:lang w:val="en-AU"/>
        </w:rPr>
        <w:t xml:space="preserve">optimised for </w:t>
      </w:r>
      <w:r w:rsidR="003D474B" w:rsidRPr="00A02BDC">
        <w:rPr>
          <w:i/>
          <w:iCs/>
          <w:lang w:val="en-AU"/>
        </w:rPr>
        <w:t>E. coli</w:t>
      </w:r>
      <w:r w:rsidR="003D474B" w:rsidRPr="00A02BDC">
        <w:rPr>
          <w:lang w:val="en-AU"/>
        </w:rPr>
        <w:t xml:space="preserve"> and then ordered from </w:t>
      </w:r>
      <w:r w:rsidR="00006DA9" w:rsidRPr="00A02BDC">
        <w:rPr>
          <w:lang w:val="en-AU"/>
        </w:rPr>
        <w:t>GeneArt (ThermoFisher)</w:t>
      </w:r>
      <w:r w:rsidR="003D474B" w:rsidRPr="00A02BDC">
        <w:rPr>
          <w:lang w:val="en-AU"/>
        </w:rPr>
        <w:t xml:space="preserve"> </w:t>
      </w:r>
      <w:r w:rsidR="00006DA9" w:rsidRPr="00A02BDC">
        <w:rPr>
          <w:lang w:val="en-AU"/>
        </w:rPr>
        <w:t>in</w:t>
      </w:r>
      <w:r w:rsidR="006341D1" w:rsidRPr="00A02BDC">
        <w:rPr>
          <w:lang w:val="en-AU"/>
        </w:rPr>
        <w:t xml:space="preserve"> pMA</w:t>
      </w:r>
      <w:r w:rsidR="00006DA9" w:rsidRPr="00A02BDC">
        <w:rPr>
          <w:lang w:val="en-AU"/>
        </w:rPr>
        <w:t>, a</w:t>
      </w:r>
      <w:r w:rsidR="003D474B" w:rsidRPr="00A02BDC">
        <w:rPr>
          <w:lang w:val="en-AU"/>
        </w:rPr>
        <w:t xml:space="preserve"> commercial cloning vector. The gene w</w:t>
      </w:r>
      <w:r w:rsidRPr="00A02BDC">
        <w:rPr>
          <w:lang w:val="en-AU"/>
        </w:rPr>
        <w:t>as</w:t>
      </w:r>
      <w:r w:rsidR="003D474B" w:rsidRPr="00A02BDC">
        <w:rPr>
          <w:lang w:val="en-AU"/>
        </w:rPr>
        <w:t xml:space="preserve"> digested with BamHI and HindIII and ligated into </w:t>
      </w:r>
      <w:r w:rsidR="00266887" w:rsidRPr="00A02BDC">
        <w:rPr>
          <w:lang w:val="en-AU"/>
        </w:rPr>
        <w:t>pCH93b</w:t>
      </w:r>
      <w:r w:rsidR="00F07C7A" w:rsidRPr="00A02BDC">
        <w:rPr>
          <w:lang w:val="en-AU"/>
        </w:rPr>
        <w:t>, an</w:t>
      </w:r>
      <w:r w:rsidR="003D474B" w:rsidRPr="00A02BDC">
        <w:rPr>
          <w:lang w:val="en-AU"/>
        </w:rPr>
        <w:t xml:space="preserve"> expression vector</w:t>
      </w:r>
      <w:r w:rsidR="00357CF4" w:rsidRPr="00A02BDC">
        <w:rPr>
          <w:lang w:val="en-AU"/>
        </w:rPr>
        <w:t xml:space="preserve"> produced in-house</w:t>
      </w:r>
      <w:r w:rsidR="008760EC" w:rsidRPr="00A02BDC">
        <w:rPr>
          <w:lang w:val="en-AU"/>
        </w:rPr>
        <w:t>,</w:t>
      </w:r>
      <w:r w:rsidR="003F3256" w:rsidRPr="00A02BDC">
        <w:rPr>
          <w:rStyle w:val="FootnoteReference"/>
          <w:lang w:val="en-AU"/>
        </w:rPr>
        <w:fldChar w:fldCharType="begin" w:fldLock="1"/>
      </w:r>
      <w:r w:rsidR="00881F49" w:rsidRPr="00A02BDC">
        <w:rPr>
          <w:vertAlign w:val="superscript"/>
          <w:lang w:val="en-AU"/>
        </w:rPr>
        <w:instrText>ADDIN CSL_CITATION {"citationItems":[{"id":"ITEM-1","itemData":{"DOI":"10.3389/fbioe.2020.00707","ISSN":"22964185","abstract":"The identification and 3D structural characterization of a homolog of the (R)-selective transaminase (RTA) from Aspergillus terreus (AtRTA), from the thermotolerant fungus Thermomyces stellatus (TsRTA) is here reported. The thermostability of TsRTA (40% retained activity after 7 days at 40°C) was initially attributed to its tetrameric form in solution, however subsequent studies of AtRTA revealed it also exists predominantly as a tetramer yet, at 40°C, it is inactivated within 48 h. The engineering of a cysteine residue to promote disulfide bond formation across the dimer-dimer interface stabilized both enzymes, with TsRTA_G205C retaining almost full activity after incubation at 50°C for 7 days. Thus, the role of this mutation was elucidated and the importance of stabilizing the tetramer for overall stability of RTAs is highlighted. TsRTA accepts the common amine donors (R)-methylbenzylamine, isopropylamine, and d-alanine as well as aromatic and aliphatic ketones and aldehydes.","author":[{"dropping-particle":"","family":"Heckmann","given":"Christian M.","non-dropping-particle":"","parse-names":false,"suffix":""},{"dropping-particle":"","family":"Gourlay","given":"Louise J.","non-dropping-particle":"","parse-names":false,"suffix":""},{"dropping-particle":"","family":"Dominguez","given":"Beatriz","non-dropping-particle":"","parse-names":false,"suffix":""},{"dropping-particle":"","family":"Paradisi","given":"Francesca","non-dropping-particle":"","parse-names":false,"suffix":""}],"container-title":"Frontiers in Bioengineering and Biotechnology","id":"ITEM-1","issued":{"date-parts":[["2020"]]},"page":"707","title":"An (R)-Selective Transaminase From Thermomyces stellatus: Stabilizing the Tetrameric Form","type":"article-journal","volume":"8"},"uris":["http://www.mendeley.com/documents/?uuid=50266d0f-6c0f-49b6-a47b-d8f1a35d6d3c"]}],"mendeley":{"formattedCitation":"&lt;sup&gt;[45]&lt;/sup&gt;","plainTextFormattedCitation":"[45]","previouslyFormattedCitation":"&lt;sup&gt;[44]&lt;/sup&gt;"},"properties":{"noteIndex":0},"schema":"https://github.com/citation-style-language/schema/raw/master/csl-citation.json"}</w:instrText>
      </w:r>
      <w:r w:rsidR="003F3256" w:rsidRPr="00A02BDC">
        <w:rPr>
          <w:rStyle w:val="FootnoteReference"/>
          <w:lang w:val="en-AU"/>
        </w:rPr>
        <w:fldChar w:fldCharType="separate"/>
      </w:r>
      <w:r w:rsidR="00881F49" w:rsidRPr="00A02BDC">
        <w:rPr>
          <w:bCs/>
          <w:noProof/>
          <w:vertAlign w:val="superscript"/>
          <w:lang w:val="en-US"/>
        </w:rPr>
        <w:t>[45]</w:t>
      </w:r>
      <w:r w:rsidR="003F3256" w:rsidRPr="00A02BDC">
        <w:rPr>
          <w:rStyle w:val="FootnoteReference"/>
          <w:lang w:val="en-AU"/>
        </w:rPr>
        <w:fldChar w:fldCharType="end"/>
      </w:r>
      <w:r w:rsidR="003D474B" w:rsidRPr="00A02BDC">
        <w:rPr>
          <w:lang w:val="en-AU"/>
        </w:rPr>
        <w:t xml:space="preserve"> which includes a C-terminal poly-His tag for purification. </w:t>
      </w:r>
      <w:r w:rsidR="003D474B" w:rsidRPr="00A02BDC">
        <w:rPr>
          <w:i/>
          <w:iCs/>
          <w:lang w:val="en-AU"/>
        </w:rPr>
        <w:t>E. coli</w:t>
      </w:r>
      <w:r w:rsidR="003D474B" w:rsidRPr="00A02BDC">
        <w:rPr>
          <w:lang w:val="en-AU"/>
        </w:rPr>
        <w:t xml:space="preserve"> strain XL10-Gold harbouring </w:t>
      </w:r>
      <w:r w:rsidRPr="00A02BDC">
        <w:rPr>
          <w:lang w:val="en-AU"/>
        </w:rPr>
        <w:t>the</w:t>
      </w:r>
      <w:r w:rsidR="003D474B" w:rsidRPr="00A02BDC">
        <w:rPr>
          <w:lang w:val="en-AU"/>
        </w:rPr>
        <w:t xml:space="preserve"> plasmid was </w:t>
      </w:r>
      <w:r w:rsidR="007569D7" w:rsidRPr="00A02BDC">
        <w:rPr>
          <w:lang w:val="en-AU"/>
        </w:rPr>
        <w:t xml:space="preserve">grown </w:t>
      </w:r>
      <w:r w:rsidR="00ED1BBB" w:rsidRPr="00A02BDC">
        <w:rPr>
          <w:lang w:val="en-AU"/>
        </w:rPr>
        <w:t>at 37</w:t>
      </w:r>
      <w:r w:rsidR="000C6CC3" w:rsidRPr="00A02BDC">
        <w:rPr>
          <w:lang w:val="en-AU"/>
        </w:rPr>
        <w:t xml:space="preserve"> </w:t>
      </w:r>
      <w:r w:rsidR="00ED1BBB" w:rsidRPr="00A02BDC">
        <w:rPr>
          <w:lang w:val="en-AU"/>
        </w:rPr>
        <w:t xml:space="preserve">ºC in </w:t>
      </w:r>
      <w:r w:rsidR="00F07C7A" w:rsidRPr="00A02BDC">
        <w:rPr>
          <w:lang w:val="en-AU"/>
        </w:rPr>
        <w:t>LB</w:t>
      </w:r>
      <w:r w:rsidR="00297EC3" w:rsidRPr="00A02BDC">
        <w:rPr>
          <w:lang w:val="en-AU"/>
        </w:rPr>
        <w:t xml:space="preserve"> </w:t>
      </w:r>
      <w:r w:rsidR="00ED1BBB" w:rsidRPr="00A02BDC">
        <w:rPr>
          <w:lang w:val="en-AU"/>
        </w:rPr>
        <w:t xml:space="preserve">medium supplemented with ampicillin (0.1 mg/mL). </w:t>
      </w:r>
      <w:r w:rsidR="003D474B" w:rsidRPr="00A02BDC">
        <w:rPr>
          <w:lang w:val="en-AU"/>
        </w:rPr>
        <w:t>The gene w</w:t>
      </w:r>
      <w:r w:rsidRPr="00A02BDC">
        <w:rPr>
          <w:lang w:val="en-AU"/>
        </w:rPr>
        <w:t>as</w:t>
      </w:r>
      <w:r w:rsidR="003D474B" w:rsidRPr="00A02BDC">
        <w:rPr>
          <w:lang w:val="en-AU"/>
        </w:rPr>
        <w:t xml:space="preserve"> sequenced </w:t>
      </w:r>
      <w:r w:rsidR="006A7285" w:rsidRPr="00A02BDC">
        <w:rPr>
          <w:lang w:val="en-AU"/>
        </w:rPr>
        <w:t xml:space="preserve">to </w:t>
      </w:r>
      <w:r w:rsidR="003D474B" w:rsidRPr="00A02BDC">
        <w:rPr>
          <w:lang w:val="en-AU"/>
        </w:rPr>
        <w:t>confirm</w:t>
      </w:r>
      <w:r w:rsidR="006A7285" w:rsidRPr="00A02BDC">
        <w:rPr>
          <w:lang w:val="en-AU"/>
        </w:rPr>
        <w:t xml:space="preserve"> </w:t>
      </w:r>
      <w:r w:rsidR="003D474B" w:rsidRPr="00A02BDC">
        <w:rPr>
          <w:lang w:val="en-AU"/>
        </w:rPr>
        <w:t xml:space="preserve">that </w:t>
      </w:r>
      <w:r w:rsidR="002B1F0F" w:rsidRPr="00A02BDC">
        <w:rPr>
          <w:lang w:val="en-AU"/>
        </w:rPr>
        <w:t>the</w:t>
      </w:r>
      <w:r w:rsidR="00B813D7" w:rsidRPr="00A02BDC">
        <w:rPr>
          <w:lang w:val="en-AU"/>
        </w:rPr>
        <w:t xml:space="preserve"> </w:t>
      </w:r>
      <w:r w:rsidR="002B1F0F" w:rsidRPr="00A02BDC">
        <w:rPr>
          <w:lang w:val="en-AU"/>
        </w:rPr>
        <w:t>cloning</w:t>
      </w:r>
      <w:r w:rsidR="003D474B" w:rsidRPr="00A02BDC">
        <w:rPr>
          <w:lang w:val="en-AU"/>
        </w:rPr>
        <w:t xml:space="preserve"> w</w:t>
      </w:r>
      <w:r w:rsidR="002B1F0F" w:rsidRPr="00A02BDC">
        <w:rPr>
          <w:lang w:val="en-AU"/>
        </w:rPr>
        <w:t>as</w:t>
      </w:r>
      <w:r w:rsidR="003D474B" w:rsidRPr="00A02BDC">
        <w:rPr>
          <w:lang w:val="en-AU"/>
        </w:rPr>
        <w:t xml:space="preserve"> successful.</w:t>
      </w:r>
    </w:p>
    <w:p w14:paraId="70CC76B5" w14:textId="7E8ADAFB" w:rsidR="003D474B" w:rsidRPr="00A02BDC" w:rsidRDefault="003D474B" w:rsidP="00750A9C">
      <w:pPr>
        <w:pStyle w:val="Heading2"/>
        <w:numPr>
          <w:ilvl w:val="0"/>
          <w:numId w:val="0"/>
        </w:numPr>
        <w:ind w:left="576" w:hanging="576"/>
        <w:rPr>
          <w:lang w:val="en-AU"/>
        </w:rPr>
      </w:pPr>
      <w:r w:rsidRPr="00A02BDC">
        <w:rPr>
          <w:lang w:val="en-AU"/>
        </w:rPr>
        <w:t>Expression</w:t>
      </w:r>
      <w:r w:rsidR="00645973" w:rsidRPr="00A02BDC">
        <w:rPr>
          <w:lang w:val="en-AU"/>
        </w:rPr>
        <w:t xml:space="preserve"> and</w:t>
      </w:r>
      <w:r w:rsidR="00996D30" w:rsidRPr="00A02BDC">
        <w:rPr>
          <w:lang w:val="en-AU"/>
        </w:rPr>
        <w:t xml:space="preserve"> </w:t>
      </w:r>
      <w:r w:rsidRPr="00A02BDC">
        <w:rPr>
          <w:lang w:val="en-AU"/>
        </w:rPr>
        <w:t>purification</w:t>
      </w:r>
      <w:r w:rsidR="00996D30" w:rsidRPr="00A02BDC">
        <w:rPr>
          <w:lang w:val="en-AU"/>
        </w:rPr>
        <w:t xml:space="preserve"> </w:t>
      </w:r>
    </w:p>
    <w:p w14:paraId="7366760B" w14:textId="30278927" w:rsidR="00ED1BBB" w:rsidRPr="00A02BDC" w:rsidRDefault="00ED1BBB" w:rsidP="00ED1BBB">
      <w:pPr>
        <w:jc w:val="both"/>
        <w:rPr>
          <w:lang w:val="en-AU"/>
        </w:rPr>
      </w:pPr>
      <w:r w:rsidRPr="00A02BDC">
        <w:t>Cells of</w:t>
      </w:r>
      <w:r w:rsidRPr="00A02BDC">
        <w:rPr>
          <w:i/>
          <w:iCs/>
        </w:rPr>
        <w:t xml:space="preserve"> E. coli</w:t>
      </w:r>
      <w:r w:rsidRPr="00A02BDC">
        <w:t xml:space="preserve"> BL21(DE3</w:t>
      </w:r>
      <w:r w:rsidR="007569D7" w:rsidRPr="00A02BDC">
        <w:t xml:space="preserve">) </w:t>
      </w:r>
      <w:r w:rsidRPr="00A02BDC">
        <w:rPr>
          <w:lang w:val="en-AU"/>
        </w:rPr>
        <w:t xml:space="preserve">harbouring the recombinant plasmid were grown at 37 </w:t>
      </w:r>
      <w:r w:rsidRPr="00A02BDC">
        <w:rPr>
          <w:rFonts w:cs="Times New Roman"/>
          <w:lang w:val="en-AU"/>
        </w:rPr>
        <w:t>º</w:t>
      </w:r>
      <w:r w:rsidRPr="00A02BDC">
        <w:rPr>
          <w:lang w:val="en-AU"/>
        </w:rPr>
        <w:t>C in L</w:t>
      </w:r>
      <w:r w:rsidR="003F6CFA" w:rsidRPr="00A02BDC">
        <w:rPr>
          <w:lang w:val="en-AU"/>
        </w:rPr>
        <w:t>B</w:t>
      </w:r>
      <w:r w:rsidRPr="00A02BDC">
        <w:rPr>
          <w:lang w:val="en-AU"/>
        </w:rPr>
        <w:t xml:space="preserve"> medium supplemented with ampicillin (</w:t>
      </w:r>
      <w:bookmarkStart w:id="3" w:name="_Hlk34297020"/>
      <w:r w:rsidRPr="00A02BDC">
        <w:rPr>
          <w:lang w:val="en-AU"/>
        </w:rPr>
        <w:t>0.1 mg/mL)</w:t>
      </w:r>
      <w:bookmarkEnd w:id="3"/>
      <w:r w:rsidRPr="00A02BDC">
        <w:rPr>
          <w:lang w:val="en-AU"/>
        </w:rPr>
        <w:t>. When the OD</w:t>
      </w:r>
      <w:r w:rsidRPr="00A02BDC">
        <w:rPr>
          <w:vertAlign w:val="subscript"/>
          <w:lang w:val="en-AU"/>
        </w:rPr>
        <w:t>600</w:t>
      </w:r>
      <w:r w:rsidRPr="00A02BDC">
        <w:rPr>
          <w:lang w:val="en-AU"/>
        </w:rPr>
        <w:t xml:space="preserve"> was between 0.6-0.8, isopropyl β-</w:t>
      </w:r>
      <w:r w:rsidRPr="00A02BDC">
        <w:rPr>
          <w:sz w:val="20"/>
          <w:szCs w:val="20"/>
          <w:lang w:val="en-AU"/>
        </w:rPr>
        <w:t>D</w:t>
      </w:r>
      <w:r w:rsidRPr="00A02BDC">
        <w:rPr>
          <w:lang w:val="en-AU"/>
        </w:rPr>
        <w:t>-1-thiogalactopyranoside</w:t>
      </w:r>
      <w:r w:rsidR="00430B57" w:rsidRPr="00A02BDC">
        <w:rPr>
          <w:lang w:val="en-AU"/>
        </w:rPr>
        <w:t xml:space="preserve"> (</w:t>
      </w:r>
      <w:r w:rsidR="00667CE0" w:rsidRPr="00A02BDC">
        <w:rPr>
          <w:lang w:val="en-AU"/>
        </w:rPr>
        <w:t>1 mM</w:t>
      </w:r>
      <w:r w:rsidR="00430B57" w:rsidRPr="00A02BDC">
        <w:rPr>
          <w:lang w:val="en-AU"/>
        </w:rPr>
        <w:t>)</w:t>
      </w:r>
      <w:r w:rsidRPr="00A02BDC">
        <w:rPr>
          <w:lang w:val="en-AU"/>
        </w:rPr>
        <w:t xml:space="preserve"> was added </w:t>
      </w:r>
      <w:r w:rsidR="001A52EB" w:rsidRPr="00A02BDC">
        <w:rPr>
          <w:lang w:val="en-AU"/>
        </w:rPr>
        <w:t>to induce</w:t>
      </w:r>
      <w:r w:rsidRPr="00A02BDC">
        <w:rPr>
          <w:lang w:val="en-AU"/>
        </w:rPr>
        <w:t xml:space="preserve"> </w:t>
      </w:r>
      <w:r w:rsidR="001A52EB" w:rsidRPr="00A02BDC">
        <w:rPr>
          <w:lang w:val="en-AU"/>
        </w:rPr>
        <w:t xml:space="preserve">protein </w:t>
      </w:r>
      <w:r w:rsidRPr="00A02BDC">
        <w:rPr>
          <w:lang w:val="en-AU"/>
        </w:rPr>
        <w:t xml:space="preserve">expression and the culture </w:t>
      </w:r>
      <w:r w:rsidR="001A52EB" w:rsidRPr="00A02BDC">
        <w:rPr>
          <w:lang w:val="en-AU"/>
        </w:rPr>
        <w:t xml:space="preserve">was </w:t>
      </w:r>
      <w:r w:rsidRPr="00A02BDC">
        <w:rPr>
          <w:lang w:val="en-AU"/>
        </w:rPr>
        <w:t xml:space="preserve">left at 30 </w:t>
      </w:r>
      <w:r w:rsidRPr="00A02BDC">
        <w:rPr>
          <w:rFonts w:cs="Times New Roman"/>
          <w:lang w:val="en-AU"/>
        </w:rPr>
        <w:t>º</w:t>
      </w:r>
      <w:r w:rsidRPr="00A02BDC">
        <w:rPr>
          <w:lang w:val="en-AU"/>
        </w:rPr>
        <w:t xml:space="preserve">C overnight. Cells were harvested at 4500 </w:t>
      </w:r>
      <w:r w:rsidR="007569D7" w:rsidRPr="00A02BDC">
        <w:rPr>
          <w:lang w:val="en-AU"/>
        </w:rPr>
        <w:t>g</w:t>
      </w:r>
      <w:r w:rsidRPr="00A02BDC">
        <w:rPr>
          <w:lang w:val="en-AU"/>
        </w:rPr>
        <w:t xml:space="preserve">, 4 °C, 20 min and the pellet stored at -20 °C until purification. </w:t>
      </w:r>
    </w:p>
    <w:p w14:paraId="63B3F667" w14:textId="7C75FD6F" w:rsidR="00ED1BBB" w:rsidRPr="00A02BDC" w:rsidRDefault="00ED1BBB" w:rsidP="00ED1BBB">
      <w:pPr>
        <w:jc w:val="both"/>
        <w:rPr>
          <w:lang w:val="en-AU"/>
        </w:rPr>
      </w:pPr>
      <w:r w:rsidRPr="00A02BDC">
        <w:rPr>
          <w:lang w:val="en-AU"/>
        </w:rPr>
        <w:t>The cell pellet</w:t>
      </w:r>
      <w:r w:rsidR="003F6CFA" w:rsidRPr="00A02BDC">
        <w:rPr>
          <w:lang w:val="en-AU"/>
        </w:rPr>
        <w:t xml:space="preserve"> </w:t>
      </w:r>
      <w:r w:rsidRPr="00A02BDC">
        <w:rPr>
          <w:lang w:val="en-AU"/>
        </w:rPr>
        <w:t>w</w:t>
      </w:r>
      <w:r w:rsidR="003F6CFA" w:rsidRPr="00A02BDC">
        <w:rPr>
          <w:lang w:val="en-AU"/>
        </w:rPr>
        <w:t>as</w:t>
      </w:r>
      <w:r w:rsidRPr="00A02BDC">
        <w:rPr>
          <w:lang w:val="en-AU"/>
        </w:rPr>
        <w:t xml:space="preserve"> resuspended in buffer (HEPES (50 mM), sodium chloride (150 mM), imidazole (10 mM), pH 7.5) and cells were broken by sonication (6 min cycle, 5s on, 5s off, 50% </w:t>
      </w:r>
      <w:r w:rsidR="000C6CC3" w:rsidRPr="00A02BDC">
        <w:rPr>
          <w:lang w:val="en-AU"/>
        </w:rPr>
        <w:t>amplitude</w:t>
      </w:r>
      <w:r w:rsidR="008030A7" w:rsidRPr="00A02BDC">
        <w:rPr>
          <w:lang w:val="en-AU"/>
        </w:rPr>
        <w:t xml:space="preserve">, </w:t>
      </w:r>
      <w:r w:rsidR="008030A7" w:rsidRPr="00A02BDC">
        <w:t>¼ inch probe, Fisherbrand™ Model 120 Sonic Dismembrator</w:t>
      </w:r>
      <w:r w:rsidRPr="00A02BDC">
        <w:rPr>
          <w:lang w:val="en-AU"/>
        </w:rPr>
        <w:t>). The lysate w</w:t>
      </w:r>
      <w:r w:rsidR="003F6CFA" w:rsidRPr="00A02BDC">
        <w:rPr>
          <w:lang w:val="en-AU"/>
        </w:rPr>
        <w:t xml:space="preserve">as </w:t>
      </w:r>
      <w:r w:rsidRPr="00A02BDC">
        <w:rPr>
          <w:lang w:val="en-AU"/>
        </w:rPr>
        <w:t>collected by centrifugation at 14500 G, 1 h, 4</w:t>
      </w:r>
      <w:r w:rsidR="000C6CC3" w:rsidRPr="00A02BDC">
        <w:rPr>
          <w:lang w:val="en-AU"/>
        </w:rPr>
        <w:t xml:space="preserve"> </w:t>
      </w:r>
      <w:r w:rsidRPr="00A02BDC">
        <w:rPr>
          <w:lang w:val="en-AU"/>
        </w:rPr>
        <w:t>ºC, and the pellet w</w:t>
      </w:r>
      <w:r w:rsidR="003F6CFA" w:rsidRPr="00A02BDC">
        <w:rPr>
          <w:lang w:val="en-AU"/>
        </w:rPr>
        <w:t>as</w:t>
      </w:r>
      <w:r w:rsidRPr="00A02BDC">
        <w:rPr>
          <w:lang w:val="en-AU"/>
        </w:rPr>
        <w:t xml:space="preserve"> discarded.</w:t>
      </w:r>
    </w:p>
    <w:p w14:paraId="2F73EC69" w14:textId="0394BE7D" w:rsidR="005358D7" w:rsidRPr="00A02BDC" w:rsidRDefault="00ED1BBB" w:rsidP="005358D7">
      <w:pPr>
        <w:jc w:val="both"/>
        <w:rPr>
          <w:lang w:val="en-AU"/>
        </w:rPr>
      </w:pPr>
      <w:r w:rsidRPr="00A02BDC">
        <w:rPr>
          <w:lang w:val="en-AU"/>
        </w:rPr>
        <w:lastRenderedPageBreak/>
        <w:t>The supernatant w</w:t>
      </w:r>
      <w:r w:rsidR="003F6CFA" w:rsidRPr="00A02BDC">
        <w:rPr>
          <w:lang w:val="en-AU"/>
        </w:rPr>
        <w:t>as</w:t>
      </w:r>
      <w:r w:rsidRPr="00A02BDC">
        <w:rPr>
          <w:lang w:val="en-AU"/>
        </w:rPr>
        <w:t xml:space="preserve"> then filtered through </w:t>
      </w:r>
      <w:r w:rsidR="007569D7" w:rsidRPr="00A02BDC">
        <w:rPr>
          <w:lang w:val="en-AU"/>
        </w:rPr>
        <w:t xml:space="preserve">PES </w:t>
      </w:r>
      <w:r w:rsidRPr="00A02BDC">
        <w:rPr>
          <w:lang w:val="en-AU"/>
        </w:rPr>
        <w:t xml:space="preserve">0.45 </w:t>
      </w:r>
      <w:r w:rsidRPr="00A02BDC">
        <w:rPr>
          <w:rFonts w:cs="Times New Roman"/>
          <w:lang w:val="en-AU"/>
        </w:rPr>
        <w:t>µ</w:t>
      </w:r>
      <w:r w:rsidRPr="00A02BDC">
        <w:rPr>
          <w:lang w:val="en-AU"/>
        </w:rPr>
        <w:t>m filter</w:t>
      </w:r>
      <w:r w:rsidR="007569D7" w:rsidRPr="00A02BDC">
        <w:rPr>
          <w:lang w:val="en-AU"/>
        </w:rPr>
        <w:t>s</w:t>
      </w:r>
      <w:r w:rsidRPr="00A02BDC">
        <w:rPr>
          <w:lang w:val="en-AU"/>
        </w:rPr>
        <w:t xml:space="preserve"> before loading it onto a IMAC column previously loaded with NiSO</w:t>
      </w:r>
      <w:r w:rsidRPr="00A02BDC">
        <w:rPr>
          <w:vertAlign w:val="subscript"/>
          <w:lang w:val="en-AU"/>
        </w:rPr>
        <w:t>4</w:t>
      </w:r>
      <w:r w:rsidRPr="00A02BDC">
        <w:rPr>
          <w:lang w:val="en-AU"/>
        </w:rPr>
        <w:t xml:space="preserve"> 0.1 M and washed with loading buffer (HEPES (50 mM), sodium chloride (150 mM), imidazole (10 mM), pH 7.5). The column was washed with loading buffer until a plateau in the UV</w:t>
      </w:r>
      <w:r w:rsidRPr="00A02BDC">
        <w:rPr>
          <w:vertAlign w:val="subscript"/>
          <w:lang w:val="en-AU"/>
        </w:rPr>
        <w:t>280</w:t>
      </w:r>
      <w:r w:rsidRPr="00A02BDC">
        <w:rPr>
          <w:lang w:val="en-AU"/>
        </w:rPr>
        <w:t xml:space="preserve"> absorbance was reached. Low affinity binding proteins were eluted using a step gradient 10% elution buffer and the protein of interest was eluted using 100% elution buffer (HEPES (50 mM), sodium chloride (150 mM), imidazole (300 mM), pH 7.5). The </w:t>
      </w:r>
      <w:r w:rsidR="003F6CFA" w:rsidRPr="00A02BDC">
        <w:rPr>
          <w:lang w:val="en-AU"/>
        </w:rPr>
        <w:t xml:space="preserve">purified </w:t>
      </w:r>
      <w:r w:rsidRPr="00A02BDC">
        <w:rPr>
          <w:lang w:val="en-AU"/>
        </w:rPr>
        <w:t xml:space="preserve">enzyme </w:t>
      </w:r>
      <w:r w:rsidR="00357CF4" w:rsidRPr="00A02BDC">
        <w:rPr>
          <w:lang w:val="en-AU"/>
        </w:rPr>
        <w:t>was</w:t>
      </w:r>
      <w:r w:rsidRPr="00A02BDC">
        <w:rPr>
          <w:lang w:val="en-AU"/>
        </w:rPr>
        <w:t xml:space="preserve"> dialysed overnight</w:t>
      </w:r>
      <w:r w:rsidR="00B813D7" w:rsidRPr="00A02BDC">
        <w:rPr>
          <w:lang w:val="en-AU"/>
        </w:rPr>
        <w:t>.</w:t>
      </w:r>
      <w:r w:rsidR="002B1F0F" w:rsidRPr="00A02BDC">
        <w:rPr>
          <w:lang w:val="en-AU"/>
        </w:rPr>
        <w:t xml:space="preserve"> </w:t>
      </w:r>
      <w:r w:rsidR="005358D7" w:rsidRPr="00A02BDC">
        <w:rPr>
          <w:lang w:val="en-AU"/>
        </w:rPr>
        <w:t>Protein quantification was performed by measuring absorbance at</w:t>
      </w:r>
      <w:r w:rsidR="00667CE0" w:rsidRPr="00A02BDC">
        <w:rPr>
          <w:lang w:val="en-AU"/>
        </w:rPr>
        <w:t xml:space="preserve"> 220, 250 and</w:t>
      </w:r>
      <w:r w:rsidR="005358D7" w:rsidRPr="00A02BDC">
        <w:rPr>
          <w:lang w:val="en-AU"/>
        </w:rPr>
        <w:t xml:space="preserve"> 280 nm using a BioTek Take3 Microplate reader</w:t>
      </w:r>
      <w:r w:rsidR="00667CE0" w:rsidRPr="00A02BDC">
        <w:rPr>
          <w:lang w:val="en-AU"/>
        </w:rPr>
        <w:t xml:space="preserve"> using predicted extinction coefficients (54854.15 Da, 108415 M</w:t>
      </w:r>
      <w:r w:rsidR="00667CE0" w:rsidRPr="00A02BDC">
        <w:rPr>
          <w:vertAlign w:val="superscript"/>
          <w:lang w:val="en-AU"/>
        </w:rPr>
        <w:t>-1</w:t>
      </w:r>
      <w:r w:rsidR="00667CE0" w:rsidRPr="00A02BDC">
        <w:rPr>
          <w:lang w:val="en-AU"/>
        </w:rPr>
        <w:t xml:space="preserve"> cm</w:t>
      </w:r>
      <w:r w:rsidR="00667CE0" w:rsidRPr="00A02BDC">
        <w:rPr>
          <w:vertAlign w:val="superscript"/>
          <w:lang w:val="en-AU"/>
        </w:rPr>
        <w:t>-1</w:t>
      </w:r>
      <w:r w:rsidR="00F23FE0" w:rsidRPr="00A02BDC">
        <w:rPr>
          <w:lang w:val="en-AU"/>
        </w:rPr>
        <w:t>).</w:t>
      </w:r>
      <w:r w:rsidR="00F23FE0" w:rsidRPr="00A02BDC">
        <w:rPr>
          <w:lang w:val="en-AU"/>
        </w:rPr>
        <w:fldChar w:fldCharType="begin" w:fldLock="1"/>
      </w:r>
      <w:r w:rsidR="00E40555" w:rsidRPr="00A02BDC">
        <w:rPr>
          <w:lang w:val="en-AU"/>
        </w:rPr>
        <w:instrText>ADDIN CSL_CITATION {"citationItems":[{"id":"ITEM-1","itemData":{"author":[{"dropping-particle":"","family":"Gasteiger E., Hoogland C., Gattiker A., Duvaud S., Wilkins M.R., Appel R.D.","given":"Bairoch A.","non-dropping-particle":"","parse-names":false,"suffix":""}],"editor":[{"dropping-particle":"","family":"Walker","given":"John M.","non-dropping-particle":"","parse-names":false,"suffix":""}],"id":"ITEM-1","issued":{"date-parts":[["2005"]]},"number-of-pages":"571-607","publisher":"Humana Press","title":"The Proteomics Protocols Handbook","type":"book"},"uris":["http://www.mendeley.com/documents/?uuid=f8627a8f-d839-4e80-b0f5-e5d9c17262d6"]}],"mendeley":{"formattedCitation":"&lt;sup&gt;[23]&lt;/sup&gt;","plainTextFormattedCitation":"[23]","previouslyFormattedCitation":"&lt;sup&gt;[23]&lt;/sup&gt;"},"properties":{"noteIndex":0},"schema":"https://github.com/citation-style-language/schema/raw/master/csl-citation.json"}</w:instrText>
      </w:r>
      <w:r w:rsidR="00F23FE0" w:rsidRPr="00A02BDC">
        <w:rPr>
          <w:lang w:val="en-AU"/>
        </w:rPr>
        <w:fldChar w:fldCharType="separate"/>
      </w:r>
      <w:r w:rsidR="00D722A1" w:rsidRPr="00A02BDC">
        <w:rPr>
          <w:noProof/>
          <w:vertAlign w:val="superscript"/>
          <w:lang w:val="en-AU"/>
        </w:rPr>
        <w:t>[23]</w:t>
      </w:r>
      <w:r w:rsidR="00F23FE0" w:rsidRPr="00A02BDC">
        <w:rPr>
          <w:lang w:val="en-AU"/>
        </w:rPr>
        <w:fldChar w:fldCharType="end"/>
      </w:r>
      <w:r w:rsidR="005358D7" w:rsidRPr="00A02BDC">
        <w:rPr>
          <w:lang w:val="en-AU"/>
        </w:rPr>
        <w:t xml:space="preserve"> </w:t>
      </w:r>
    </w:p>
    <w:p w14:paraId="78F24F67" w14:textId="22B34F51" w:rsidR="003E193C" w:rsidRPr="00A02BDC" w:rsidRDefault="003E193C" w:rsidP="003E193C">
      <w:pPr>
        <w:pStyle w:val="Heading2"/>
        <w:numPr>
          <w:ilvl w:val="0"/>
          <w:numId w:val="0"/>
        </w:numPr>
        <w:ind w:left="576" w:hanging="576"/>
      </w:pPr>
      <w:r w:rsidRPr="00A02BDC">
        <w:t>Gel filtration</w:t>
      </w:r>
    </w:p>
    <w:p w14:paraId="7C5C7136" w14:textId="63309049" w:rsidR="00996D30" w:rsidRPr="00A02BDC" w:rsidRDefault="003E193C" w:rsidP="00996D30">
      <w:pPr>
        <w:jc w:val="both"/>
      </w:pPr>
      <w:r w:rsidRPr="00A02BDC">
        <w:t xml:space="preserve">Gel filtration chromatography </w:t>
      </w:r>
      <w:r w:rsidR="00996D30" w:rsidRPr="00A02BDC">
        <w:t>was performed</w:t>
      </w:r>
      <w:r w:rsidRPr="00A02BDC">
        <w:t xml:space="preserve"> on a Superdex 200 10/300 GL column (GE Healthcare), using</w:t>
      </w:r>
      <w:r w:rsidR="0079526E" w:rsidRPr="00A02BDC">
        <w:t xml:space="preserve"> a mobile phase consisting of</w:t>
      </w:r>
      <w:r w:rsidRPr="00A02BDC">
        <w:t xml:space="preserve"> </w:t>
      </w:r>
      <w:r w:rsidR="0079526E" w:rsidRPr="00A02BDC">
        <w:t>Tris-HCl (50 mM)</w:t>
      </w:r>
      <w:proofErr w:type="gramStart"/>
      <w:r w:rsidR="0079526E" w:rsidRPr="00A02BDC">
        <w:t>,</w:t>
      </w:r>
      <w:r w:rsidRPr="00A02BDC">
        <w:t>.</w:t>
      </w:r>
      <w:r w:rsidR="0079526E" w:rsidRPr="00A02BDC">
        <w:t>KCl</w:t>
      </w:r>
      <w:proofErr w:type="gramEnd"/>
      <w:r w:rsidR="0079526E" w:rsidRPr="00A02BDC">
        <w:t xml:space="preserve"> (100 mM), pH 7.</w:t>
      </w:r>
      <w:r w:rsidR="003203ED" w:rsidRPr="00A02BDC">
        <w:t>5.</w:t>
      </w:r>
      <w:r w:rsidRPr="00A02BDC">
        <w:t xml:space="preserve"> Injection volume: </w:t>
      </w:r>
      <w:r w:rsidR="003203ED" w:rsidRPr="00A02BDC">
        <w:t>750</w:t>
      </w:r>
      <w:r w:rsidRPr="00A02BDC">
        <w:t xml:space="preserve"> μL, flow rate 0.75 mL/min. Samples were prepared to a final protein concentration of approx. </w:t>
      </w:r>
      <w:r w:rsidR="003203ED" w:rsidRPr="00A02BDC">
        <w:t>1</w:t>
      </w:r>
      <w:r w:rsidRPr="00A02BDC">
        <w:t xml:space="preserve"> mg/mL. A calibration curve was generated using the Sigma Aldrich Gel Filtration Markers Kit for Protein Molecular Weights 12,000–200,000 Da (MWGF200).  </w:t>
      </w:r>
    </w:p>
    <w:p w14:paraId="72341725" w14:textId="77777777" w:rsidR="003E193C" w:rsidRPr="00A02BDC" w:rsidRDefault="003E193C" w:rsidP="002A4D86">
      <w:pPr>
        <w:pStyle w:val="Heading2"/>
        <w:numPr>
          <w:ilvl w:val="0"/>
          <w:numId w:val="0"/>
        </w:numPr>
        <w:ind w:left="576" w:hanging="576"/>
        <w:rPr>
          <w:bCs w:val="0"/>
        </w:rPr>
      </w:pPr>
      <w:r w:rsidRPr="00A02BDC">
        <w:t>Thermal shift Assay</w:t>
      </w:r>
    </w:p>
    <w:p w14:paraId="58D3BABB" w14:textId="48BAE8E5" w:rsidR="003E193C" w:rsidRPr="00A02BDC" w:rsidRDefault="003E193C" w:rsidP="002A4D86">
      <w:pPr>
        <w:pStyle w:val="Default"/>
        <w:spacing w:line="360" w:lineRule="auto"/>
        <w:jc w:val="both"/>
        <w:outlineLvl w:val="0"/>
        <w:rPr>
          <w:lang w:val="en-GB"/>
        </w:rPr>
      </w:pPr>
      <w:r w:rsidRPr="00A02BDC">
        <w:rPr>
          <w:rFonts w:eastAsiaTheme="minorHAnsi" w:cstheme="minorBidi"/>
          <w:color w:val="auto"/>
          <w:szCs w:val="22"/>
          <w:lang w:val="en-GB" w:eastAsia="en-US"/>
        </w:rPr>
        <w:t xml:space="preserve">6 </w:t>
      </w:r>
      <w:r w:rsidRPr="00A02BDC">
        <w:rPr>
          <w:rFonts w:eastAsiaTheme="minorHAnsi" w:cstheme="minorBidi"/>
          <w:color w:val="auto"/>
          <w:szCs w:val="22"/>
          <w:lang w:val="en-GB" w:eastAsia="en-US"/>
        </w:rPr>
        <w:sym w:font="Symbol" w:char="F06D"/>
      </w:r>
      <w:r w:rsidRPr="00A02BDC">
        <w:rPr>
          <w:rFonts w:eastAsiaTheme="minorHAnsi" w:cstheme="minorBidi"/>
          <w:color w:val="auto"/>
          <w:szCs w:val="22"/>
          <w:lang w:val="en-GB" w:eastAsia="en-US"/>
        </w:rPr>
        <w:t xml:space="preserve">l of </w:t>
      </w:r>
      <w:r w:rsidRPr="00A02BDC">
        <w:rPr>
          <w:rFonts w:eastAsiaTheme="minorHAnsi" w:cstheme="minorBidi"/>
          <w:i/>
          <w:iCs/>
          <w:color w:val="auto"/>
          <w:szCs w:val="22"/>
          <w:lang w:val="en-GB" w:eastAsia="en-US"/>
        </w:rPr>
        <w:t>Ahe</w:t>
      </w:r>
      <w:r w:rsidRPr="00A02BDC">
        <w:rPr>
          <w:rFonts w:eastAsiaTheme="minorHAnsi" w:cstheme="minorBidi"/>
          <w:color w:val="auto"/>
          <w:szCs w:val="22"/>
          <w:lang w:val="en-GB" w:eastAsia="en-US"/>
        </w:rPr>
        <w:t xml:space="preserve">GH1 (8.8 mg/ml) was mixed with 9 </w:t>
      </w:r>
      <w:r w:rsidRPr="00A02BDC">
        <w:rPr>
          <w:rFonts w:eastAsiaTheme="minorHAnsi" w:cstheme="minorBidi"/>
          <w:color w:val="auto"/>
          <w:szCs w:val="22"/>
          <w:lang w:val="en-GB" w:eastAsia="en-US"/>
        </w:rPr>
        <w:sym w:font="Symbol" w:char="F06D"/>
      </w:r>
      <w:r w:rsidRPr="00A02BDC">
        <w:rPr>
          <w:rFonts w:eastAsiaTheme="minorHAnsi" w:cstheme="minorBidi"/>
          <w:color w:val="auto"/>
          <w:szCs w:val="22"/>
          <w:lang w:val="en-GB" w:eastAsia="en-US"/>
        </w:rPr>
        <w:t>l SYPRO</w:t>
      </w:r>
      <w:r w:rsidRPr="00A02BDC">
        <w:rPr>
          <w:rFonts w:eastAsiaTheme="minorHAnsi" w:cstheme="minorBidi"/>
          <w:color w:val="auto"/>
          <w:szCs w:val="22"/>
          <w:lang w:val="en-GB" w:eastAsia="en-US"/>
        </w:rPr>
        <w:sym w:font="Symbol" w:char="F0D4"/>
      </w:r>
      <w:r w:rsidRPr="00A02BDC">
        <w:rPr>
          <w:rFonts w:eastAsiaTheme="minorHAnsi" w:cstheme="minorBidi"/>
          <w:color w:val="auto"/>
          <w:szCs w:val="22"/>
          <w:lang w:val="en-GB" w:eastAsia="en-US"/>
        </w:rPr>
        <w:t xml:space="preserve">Orange Protein Stain (Sigma-Aldrich) solution (prepared by diluting 0.7 </w:t>
      </w:r>
      <w:r w:rsidRPr="00A02BDC">
        <w:rPr>
          <w:rFonts w:eastAsiaTheme="minorHAnsi" w:cstheme="minorBidi"/>
          <w:color w:val="auto"/>
          <w:szCs w:val="22"/>
          <w:lang w:val="en-GB" w:eastAsia="en-US"/>
        </w:rPr>
        <w:sym w:font="Symbol" w:char="F06D"/>
      </w:r>
      <w:r w:rsidRPr="00A02BDC">
        <w:rPr>
          <w:rFonts w:eastAsiaTheme="minorHAnsi" w:cstheme="minorBidi"/>
          <w:color w:val="auto"/>
          <w:szCs w:val="22"/>
          <w:lang w:val="en-GB" w:eastAsia="en-US"/>
        </w:rPr>
        <w:t xml:space="preserve">l in 250 </w:t>
      </w:r>
      <w:r w:rsidRPr="00A02BDC">
        <w:rPr>
          <w:rFonts w:eastAsiaTheme="minorHAnsi" w:cstheme="minorBidi"/>
          <w:color w:val="auto"/>
          <w:szCs w:val="22"/>
          <w:lang w:val="en-GB" w:eastAsia="en-US"/>
        </w:rPr>
        <w:sym w:font="Symbol" w:char="F06D"/>
      </w:r>
      <w:r w:rsidRPr="00A02BDC">
        <w:rPr>
          <w:rFonts w:eastAsiaTheme="minorHAnsi" w:cstheme="minorBidi"/>
          <w:color w:val="auto"/>
          <w:szCs w:val="22"/>
          <w:lang w:val="en-GB" w:eastAsia="en-US"/>
        </w:rPr>
        <w:t>l water). Thermal shift assays were carried out using the MiniOpticon Real-time thermocycler (Bio-rad), over a temperature gradient of 15-99</w:t>
      </w:r>
      <w:r w:rsidRPr="00A02BDC">
        <w:rPr>
          <w:rFonts w:eastAsiaTheme="minorHAnsi" w:cstheme="minorBidi"/>
          <w:color w:val="auto"/>
          <w:szCs w:val="22"/>
          <w:lang w:val="en-GB" w:eastAsia="en-US"/>
        </w:rPr>
        <w:sym w:font="Symbol" w:char="F0B0"/>
      </w:r>
      <w:r w:rsidRPr="00A02BDC">
        <w:rPr>
          <w:rFonts w:eastAsiaTheme="minorHAnsi" w:cstheme="minorBidi"/>
          <w:color w:val="auto"/>
          <w:szCs w:val="22"/>
          <w:lang w:val="en-GB" w:eastAsia="en-US"/>
        </w:rPr>
        <w:t>C, increasing at a rate of 2</w:t>
      </w:r>
      <w:r w:rsidRPr="00A02BDC">
        <w:rPr>
          <w:rFonts w:eastAsiaTheme="minorHAnsi" w:cstheme="minorBidi"/>
          <w:color w:val="auto"/>
          <w:szCs w:val="22"/>
          <w:lang w:val="en-GB" w:eastAsia="en-US"/>
        </w:rPr>
        <w:sym w:font="Symbol" w:char="F0B0"/>
      </w:r>
      <w:r w:rsidRPr="00A02BDC">
        <w:rPr>
          <w:rFonts w:eastAsiaTheme="minorHAnsi" w:cstheme="minorBidi"/>
          <w:color w:val="auto"/>
          <w:szCs w:val="22"/>
          <w:lang w:val="en-GB" w:eastAsia="en-US"/>
        </w:rPr>
        <w:t>C/min. The final melting temperature (</w:t>
      </w:r>
      <w:r w:rsidRPr="00A02BDC">
        <w:rPr>
          <w:rFonts w:eastAsiaTheme="minorHAnsi" w:cstheme="minorBidi"/>
          <w:i/>
          <w:iCs/>
          <w:color w:val="auto"/>
          <w:szCs w:val="22"/>
          <w:lang w:val="en-GB" w:eastAsia="en-US"/>
        </w:rPr>
        <w:t>T</w:t>
      </w:r>
      <w:r w:rsidRPr="00A02BDC">
        <w:rPr>
          <w:rFonts w:eastAsiaTheme="minorHAnsi" w:cstheme="minorBidi"/>
          <w:i/>
          <w:iCs/>
          <w:color w:val="auto"/>
          <w:szCs w:val="22"/>
          <w:vertAlign w:val="subscript"/>
          <w:lang w:val="en-GB" w:eastAsia="en-US"/>
        </w:rPr>
        <w:t>m</w:t>
      </w:r>
      <w:r w:rsidRPr="00A02BDC">
        <w:rPr>
          <w:rFonts w:eastAsiaTheme="minorHAnsi" w:cstheme="minorBidi"/>
          <w:color w:val="auto"/>
          <w:szCs w:val="22"/>
          <w:lang w:val="en-GB" w:eastAsia="en-US"/>
        </w:rPr>
        <w:t xml:space="preserve">) was calculated from the derivative of each sigmoidal, melting curve, as an average of quadruple values. </w:t>
      </w:r>
    </w:p>
    <w:p w14:paraId="00B1E1D3" w14:textId="77777777" w:rsidR="000A0956" w:rsidRPr="00A02BDC" w:rsidRDefault="000A0956" w:rsidP="00750A9C">
      <w:pPr>
        <w:pStyle w:val="Heading2"/>
        <w:numPr>
          <w:ilvl w:val="0"/>
          <w:numId w:val="0"/>
        </w:numPr>
        <w:ind w:left="576" w:hanging="576"/>
      </w:pPr>
      <w:r w:rsidRPr="00A02BDC">
        <w:t>Crystallization of AheGH1</w:t>
      </w:r>
    </w:p>
    <w:p w14:paraId="43311A84" w14:textId="77777777" w:rsidR="000A0956" w:rsidRPr="00A02BDC" w:rsidRDefault="000A0956" w:rsidP="000A0956">
      <w:pPr>
        <w:jc w:val="both"/>
      </w:pPr>
      <w:r w:rsidRPr="00A02BDC">
        <w:rPr>
          <w:i/>
          <w:iCs/>
        </w:rPr>
        <w:t>Ahe</w:t>
      </w:r>
      <w:r w:rsidRPr="00A02BDC">
        <w:t xml:space="preserve">GH1 crystals were grown using the sitting drop vapor diffusion technique, using an Orxy4 crystallization robot (Douglas Instruments). Briefly, 400 nl drops comprising 10 mg/ml </w:t>
      </w:r>
      <w:r w:rsidRPr="00A02BDC">
        <w:rPr>
          <w:i/>
          <w:iCs/>
        </w:rPr>
        <w:t>Ahe</w:t>
      </w:r>
      <w:r w:rsidRPr="00A02BDC">
        <w:t xml:space="preserve">GH1, in 10 mM HEPES pH 7.5, 100 mM NaCl. Drops were set up in 3-drop, round CrystalQuick 96-well plates (Greiner Bio-One). Each reservoir contained 100 </w:t>
      </w:r>
      <w:r w:rsidRPr="00A02BDC">
        <w:rPr>
          <w:rFonts w:cs="Times New Roman"/>
        </w:rPr>
        <w:t>µ</w:t>
      </w:r>
      <w:r w:rsidRPr="00A02BDC">
        <w:t xml:space="preserve">L of 96 different crystallization conditions </w:t>
      </w:r>
      <w:r w:rsidRPr="00A02BDC">
        <w:lastRenderedPageBreak/>
        <w:t xml:space="preserve">from the PACT Premier screen (Molecular Dimensions). </w:t>
      </w:r>
      <w:r w:rsidRPr="00A02BDC">
        <w:rPr>
          <w:i/>
          <w:iCs/>
        </w:rPr>
        <w:t>Ahe</w:t>
      </w:r>
      <w:r w:rsidRPr="00A02BDC">
        <w:t>GH1 crystals grew after 5 days in condition F2 (0.2 M NaBr, 20% (w/v) PEG 3350, 0.1 M Bis Tris Propane pH 6.5, at room temperature. Crystals were cryoprotected 0.1 M Bis Tris Propane pH 6.5, 30% (w/v) PEG 3350 and 30% ethylene glycol cryocooled in liquid nitrogen.</w:t>
      </w:r>
    </w:p>
    <w:p w14:paraId="4DD32301" w14:textId="77777777" w:rsidR="000A0956" w:rsidRPr="00A02BDC" w:rsidRDefault="000A0956" w:rsidP="00750A9C">
      <w:pPr>
        <w:pStyle w:val="Heading2"/>
        <w:numPr>
          <w:ilvl w:val="0"/>
          <w:numId w:val="0"/>
        </w:numPr>
        <w:ind w:left="576" w:hanging="576"/>
      </w:pPr>
      <w:r w:rsidRPr="00A02BDC">
        <w:t xml:space="preserve">Data collection and 3D structure determination of </w:t>
      </w:r>
      <w:r w:rsidRPr="00A02BDC">
        <w:rPr>
          <w:iCs/>
        </w:rPr>
        <w:t>Ahe</w:t>
      </w:r>
      <w:r w:rsidRPr="00A02BDC">
        <w:t>GH1</w:t>
      </w:r>
    </w:p>
    <w:p w14:paraId="37F2B5A1" w14:textId="39904F5F" w:rsidR="000A0956" w:rsidRPr="00A02BDC" w:rsidRDefault="000A0956" w:rsidP="000A0956">
      <w:pPr>
        <w:jc w:val="both"/>
      </w:pPr>
      <w:r w:rsidRPr="00A02BDC">
        <w:t>X-ray diffraction data were collected on the I04 beamline at the Diamond Light Source (DLS Didcot, UK). Diffraction data were reduced using XDS</w:t>
      </w:r>
      <w:r w:rsidR="003F3256" w:rsidRPr="00A02BDC">
        <w:fldChar w:fldCharType="begin" w:fldLock="1"/>
      </w:r>
      <w:r w:rsidR="00881F49" w:rsidRPr="00A02BDC">
        <w:rPr>
          <w:vertAlign w:val="superscript"/>
        </w:rPr>
        <w:instrText>ADDIN CSL_CITATION {"citationItems":[{"id":"ITEM-1","itemData":{"DOI":"10.1107/S0907444909047337","ISSN":"0907-4449","abstract":"The usage and control of recent modifications of the program package XDS for the processing of rotation images are described in the context of previous versions. New features include automatic determination of spot size and reflecting range and recognition and assignment of crystal symmetry. Moreover, the limitations of earlier package versions on the number of correction/scaling factors and the representation of pixel contents have been removed. Large program parts have been restructured for parallel processing so that the quality and completeness of collected data can be assessed soon after measurement.","author":[{"dropping-particle":"","family":"Kabsch","given":"Wolfgang","non-dropping-particle":"","parse-names":false,"suffix":""}],"container-title":"Acta Crystallographica Section D Biological Crystallography","id":"ITEM-1","issue":"2","issued":{"date-parts":[["2010"]]},"page":"125-132","title":"XDS","type":"article-journal","volume":"66"},"uris":["http://www.mendeley.com/documents/?uuid=26972257-7557-4363-885b-b8fb1a2910d8"]}],"mendeley":{"formattedCitation":"&lt;sup&gt;[46]&lt;/sup&gt;","plainTextFormattedCitation":"[46]","previouslyFormattedCitation":"&lt;sup&gt;[45]&lt;/sup&gt;"},"properties":{"noteIndex":0},"schema":"https://github.com/citation-style-language/schema/raw/master/csl-citation.json"}</w:instrText>
      </w:r>
      <w:r w:rsidR="003F3256" w:rsidRPr="00A02BDC">
        <w:fldChar w:fldCharType="separate"/>
      </w:r>
      <w:r w:rsidR="00881F49" w:rsidRPr="00A02BDC">
        <w:rPr>
          <w:noProof/>
          <w:vertAlign w:val="superscript"/>
        </w:rPr>
        <w:t>[46]</w:t>
      </w:r>
      <w:r w:rsidR="003F3256" w:rsidRPr="00A02BDC">
        <w:fldChar w:fldCharType="end"/>
      </w:r>
      <w:r w:rsidRPr="00A02BDC">
        <w:t xml:space="preserve"> and anisotropically truncated and scaled with STARANISO</w:t>
      </w:r>
      <w:r w:rsidR="008760EC" w:rsidRPr="00A02BDC">
        <w:t>.</w:t>
      </w:r>
      <w:r w:rsidR="008760EC" w:rsidRPr="00A02BDC">
        <w:rPr>
          <w:vertAlign w:val="superscript"/>
        </w:rPr>
        <w:fldChar w:fldCharType="begin" w:fldLock="1"/>
      </w:r>
      <w:r w:rsidR="00881F49" w:rsidRPr="00A02BDC">
        <w:rPr>
          <w:vertAlign w:val="superscript"/>
        </w:rPr>
        <w:instrText>ADDIN CSL_CITATION {"citationItems":[{"id":"ITEM-1","itemData":{"author":[{"dropping-particle":"","family":"Tickle, I.J., Flensburg, C., Keller, P., Paciorek, W., Sharff","given":"A.","non-dropping-particle":"","parse-names":false,"suffix":""},{"dropping-particle":"","family":"Vonrhein, C., Bricogne","given":"G.","non-dropping-particle":"","parse-names":false,"suffix":""}],"id":"ITEM-1","issued":{"date-parts":[["0"]]},"publisher":"Global Phasing Ltd","publisher-place":"Cambridge, United Kningdom","title":"STARANISO","type":"article"},"uris":["http://www.mendeley.com/documents/?uuid=e8a15846-1e23-4141-855b-2f7a12b53c0e"]}],"mendeley":{"formattedCitation":"&lt;sup&gt;[47]&lt;/sup&gt;","plainTextFormattedCitation":"[47]","previouslyFormattedCitation":"&lt;sup&gt;[46]&lt;/sup&gt;"},"properties":{"noteIndex":0},"schema":"https://github.com/citation-style-language/schema/raw/master/csl-citation.json"}</w:instrText>
      </w:r>
      <w:r w:rsidR="008760EC" w:rsidRPr="00A02BDC">
        <w:rPr>
          <w:vertAlign w:val="superscript"/>
        </w:rPr>
        <w:fldChar w:fldCharType="separate"/>
      </w:r>
      <w:r w:rsidR="00881F49" w:rsidRPr="00A02BDC">
        <w:rPr>
          <w:noProof/>
          <w:vertAlign w:val="superscript"/>
        </w:rPr>
        <w:t>[47]</w:t>
      </w:r>
      <w:r w:rsidR="008760EC" w:rsidRPr="00A02BDC">
        <w:rPr>
          <w:vertAlign w:val="superscript"/>
        </w:rPr>
        <w:fldChar w:fldCharType="end"/>
      </w:r>
      <w:r w:rsidR="008760EC" w:rsidRPr="00A02BDC">
        <w:t xml:space="preserve"> </w:t>
      </w:r>
      <w:r w:rsidRPr="00A02BDC">
        <w:t>Data collection statistics are reported in Table S1.</w:t>
      </w:r>
    </w:p>
    <w:p w14:paraId="7A1F42B8" w14:textId="4E4022D3" w:rsidR="000A0956" w:rsidRPr="00A02BDC" w:rsidRDefault="000A0956" w:rsidP="005358D7">
      <w:pPr>
        <w:jc w:val="both"/>
      </w:pPr>
      <w:r w:rsidRPr="00A02BDC">
        <w:t>The structure was solved by molecular replacement using MOLREP</w:t>
      </w:r>
      <w:r w:rsidR="003F3256" w:rsidRPr="00A02BDC">
        <w:fldChar w:fldCharType="begin" w:fldLock="1"/>
      </w:r>
      <w:r w:rsidR="00881F49" w:rsidRPr="00A02BDC">
        <w:rPr>
          <w:vertAlign w:val="superscript"/>
        </w:rPr>
        <w:instrText>ADDIN CSL_CITATION {"citationItems":[{"id":"ITEM-1","itemData":{"DOI":"10.1107/S0021889897006766","ISSN":"00218898","abstract":"MOLREP is an automated program for molecular replacement which utilizes effective new approaches in data processing and rotational and translational searching. These include an automatic choice of all parameters, scaling by Patterson origin peaks and soft resolution cut-off. One of the cornerstones of the program is an original full-symmetry translation function combined with a packing function. Information from the model already placed in the cell is incorporated in both translation and packing functions. A number of tests using experimental data proved the ability of the program to find the correct solution in difficult cases.","author":[{"dropping-particle":"","family":"Vagin","given":"Alexei","non-dropping-particle":"","parse-names":false,"suffix":""},{"dropping-particle":"","family":"Teplyakov","given":"Alexei","non-dropping-particle":"","parse-names":false,"suffix":""}],"container-title":"Journal of Applied Crystallography","id":"ITEM-1","issue":"6","issued":{"date-parts":[["1997"]]},"page":"1022-1025","publisher":"International Union of Crystallography","title":"MOLREP: An Automated Program for Molecular Replacement","type":"article-journal","volume":"30"},"uris":["http://www.mendeley.com/documents/?uuid=da9e82ea-c5e4-4b8f-9566-b9650cc78018"]}],"mendeley":{"formattedCitation":"&lt;sup&gt;[48]&lt;/sup&gt;","plainTextFormattedCitation":"[48]","previouslyFormattedCitation":"&lt;sup&gt;[47]&lt;/sup&gt;"},"properties":{"noteIndex":0},"schema":"https://github.com/citation-style-language/schema/raw/master/csl-citation.json"}</w:instrText>
      </w:r>
      <w:r w:rsidR="003F3256" w:rsidRPr="00A02BDC">
        <w:fldChar w:fldCharType="separate"/>
      </w:r>
      <w:r w:rsidR="00881F49" w:rsidRPr="00A02BDC">
        <w:rPr>
          <w:noProof/>
          <w:vertAlign w:val="superscript"/>
        </w:rPr>
        <w:t>[48]</w:t>
      </w:r>
      <w:r w:rsidR="003F3256" w:rsidRPr="00A02BDC">
        <w:fldChar w:fldCharType="end"/>
      </w:r>
      <w:r w:rsidRPr="00A02BDC">
        <w:t xml:space="preserve"> from the CCP4 suite using the crystal structure of a thermostable </w:t>
      </w:r>
      <w:r w:rsidRPr="00A02BDC">
        <w:rPr>
          <w:rFonts w:cs="Times New Roman"/>
        </w:rPr>
        <w:t>β</w:t>
      </w:r>
      <w:r w:rsidRPr="00A02BDC">
        <w:t xml:space="preserve">-glucosidase from </w:t>
      </w:r>
      <w:r w:rsidRPr="00A02BDC">
        <w:rPr>
          <w:i/>
          <w:iCs/>
        </w:rPr>
        <w:t>Halothermothrix orenii</w:t>
      </w:r>
      <w:r w:rsidRPr="00A02BDC">
        <w:t xml:space="preserve"> as a search model (PDB</w:t>
      </w:r>
      <w:r w:rsidR="00602064" w:rsidRPr="00A02BDC">
        <w:t>:</w:t>
      </w:r>
      <w:r w:rsidRPr="00A02BDC">
        <w:t xml:space="preserve"> 4PTV.</w:t>
      </w:r>
      <w:r w:rsidR="00F23FE0" w:rsidRPr="00A02BDC">
        <w:rPr>
          <w:vertAlign w:val="superscript"/>
        </w:rPr>
        <w:fldChar w:fldCharType="begin" w:fldLock="1"/>
      </w:r>
      <w:r w:rsidR="00881F49" w:rsidRPr="00A02BDC">
        <w:rPr>
          <w:vertAlign w:val="superscript"/>
        </w:rPr>
        <w:instrText>ADDIN CSL_CITATION {"citationItems":[{"id":"ITEM-1","itemData":{"DOI":"10.1007/s00253-014-6015-x","ISSN":"0175-7598","author":[{"dropping-particle":"","family":"Hassan","given":"Noor","non-dropping-particle":"","parse-names":false,"suffix":""},{"dropping-particle":"","family":"Nguyen","given":"Thu-Ha","non-dropping-particle":"","parse-names":false,"suffix":""},{"dropping-particle":"","family":"Intanon","given":"Montira","non-dropping-particle":"","parse-names":false,"suffix":""},{"dropping-particle":"","family":"Kori","given":"Lokesh D.","non-dropping-particle":"","parse-names":false,"suffix":""},{"dropping-particle":"","family":"Patel","given":"Bharat K. C.","non-dropping-particle":"","parse-names":false,"suffix":""},{"dropping-particle":"","family":"Haltrich","given":"Dietmar","non-dropping-particle":"","parse-names":false,"suffix":""},{"dropping-particle":"","family":"Divne","given":"Christina","non-dropping-particle":"","parse-names":false,"suffix":""},{"dropping-particle":"","family":"Tan","given":"Tien Chye","non-dropping-particle":"","parse-names":false,"suffix":""}],"container-title":"Applied Microbiology and Biotechnology","id":"ITEM-1","issue":"4","issued":{"date-parts":[["2015","2"]]},"page":"1731-1744","title":"Biochemical and structural characterization of a thermostable β-glucosidase from Halothermothrix orenii for galacto-oligosaccharide synthesis","type":"article-journal","volume":"99"},"uris":["http://www.mendeley.com/documents/?uuid=8364d3b3-b196-4405-96dc-fb68bbc53abe"]}],"mendeley":{"formattedCitation":"&lt;sup&gt;[49]&lt;/sup&gt;","plainTextFormattedCitation":"[49]","previouslyFormattedCitation":"&lt;sup&gt;[48]&lt;/sup&gt;"},"properties":{"noteIndex":0},"schema":"https://github.com/citation-style-language/schema/raw/master/csl-citation.json"}</w:instrText>
      </w:r>
      <w:r w:rsidR="00F23FE0" w:rsidRPr="00A02BDC">
        <w:rPr>
          <w:vertAlign w:val="superscript"/>
        </w:rPr>
        <w:fldChar w:fldCharType="separate"/>
      </w:r>
      <w:r w:rsidR="00881F49" w:rsidRPr="00A02BDC">
        <w:rPr>
          <w:noProof/>
          <w:vertAlign w:val="superscript"/>
        </w:rPr>
        <w:t>[49]</w:t>
      </w:r>
      <w:r w:rsidR="00F23FE0" w:rsidRPr="00A02BDC">
        <w:rPr>
          <w:vertAlign w:val="superscript"/>
        </w:rPr>
        <w:fldChar w:fldCharType="end"/>
      </w:r>
      <w:r w:rsidRPr="00A02BDC">
        <w:t xml:space="preserve"> The model was further built using Coot</w:t>
      </w:r>
      <w:r w:rsidR="003F3256" w:rsidRPr="00A02BDC">
        <w:rPr>
          <w:rStyle w:val="FootnoteReference"/>
        </w:rPr>
        <w:fldChar w:fldCharType="begin" w:fldLock="1"/>
      </w:r>
      <w:r w:rsidR="00881F49" w:rsidRPr="00A02BDC">
        <w:rPr>
          <w:vertAlign w:val="superscript"/>
        </w:rPr>
        <w:instrText>ADDIN CSL_CITATION {"citationItems":[{"id":"ITEM-1","itemData":{"DOI":"10.1107/S0907444904019158","ISBN":"0907-4449 (Print)\\n0907-4449 (Linking)","ISSN":"09074449","PMID":"15572765","abstract":"CCP4mg is a project that aims to provide a general-purpose tool for structural biologists, providing tools for X-ray structure solution, structure comparison and analysis, and publication-quality graphics. The map-fitting tools are available as a stand-alone package, distributed as 'Coot'.","author":[{"dropping-particle":"","family":"Emsley","given":"Paul","non-dropping-particle":"","parse-names":false,"suffix":""},{"dropping-particle":"","family":"Cowtan","given":"Kevin","non-dropping-particle":"","parse-names":false,"suffix":""}],"container-title":"Acta Crystallographica Section D: Biological Crystallography","id":"ITEM-1","issue":"12 I","issued":{"date-parts":[["2004"]]},"page":"2126-2132","title":"Coot: Model-building tools for molecular graphics","type":"article-journal","volume":"60"},"uris":["http://www.mendeley.com/documents/?uuid=3b6bb131-d769-419e-8952-e6d0e4213155","http://www.mendeley.com/documents/?uuid=503f5ce3-fb8f-400e-8ad5-80d67d7df839"]}],"mendeley":{"formattedCitation":"&lt;sup&gt;[50]&lt;/sup&gt;","plainTextFormattedCitation":"[50]","previouslyFormattedCitation":"&lt;sup&gt;[49]&lt;/sup&gt;"},"properties":{"noteIndex":0},"schema":"https://github.com/citation-style-language/schema/raw/master/csl-citation.json"}</w:instrText>
      </w:r>
      <w:r w:rsidR="003F3256" w:rsidRPr="00A02BDC">
        <w:rPr>
          <w:rStyle w:val="FootnoteReference"/>
        </w:rPr>
        <w:fldChar w:fldCharType="separate"/>
      </w:r>
      <w:r w:rsidR="00881F49" w:rsidRPr="00A02BDC">
        <w:rPr>
          <w:bCs/>
          <w:noProof/>
          <w:vertAlign w:val="superscript"/>
          <w:lang w:val="en-US"/>
        </w:rPr>
        <w:t>[50]</w:t>
      </w:r>
      <w:r w:rsidR="003F3256" w:rsidRPr="00A02BDC">
        <w:rPr>
          <w:rStyle w:val="FootnoteReference"/>
        </w:rPr>
        <w:fldChar w:fldCharType="end"/>
      </w:r>
      <w:r w:rsidRPr="00A02BDC">
        <w:t xml:space="preserve"> and refined using phenix.refine</w:t>
      </w:r>
      <w:r w:rsidR="003F3256" w:rsidRPr="00A02BDC">
        <w:rPr>
          <w:rStyle w:val="FootnoteReference"/>
        </w:rPr>
        <w:fldChar w:fldCharType="begin" w:fldLock="1"/>
      </w:r>
      <w:r w:rsidR="00881F49" w:rsidRPr="00A02BDC">
        <w:rPr>
          <w:vertAlign w:val="superscript"/>
        </w:rPr>
        <w:instrText>ADDIN CSL_CITATION {"citationItems":[{"id":"ITEM-1","itemData":{"DOI":"10.1107/S0907444909052925","ISSN":"09074449","PMID":"20124702","abstract":"Macromolecular X-ray crystallography is routinely applied to understand biological processes at a molecular level. How-ever, significant time and effort are still required to solve and complete many of these structures because of the need for manual interpretation of complex numerical data using many software packages and the repeated use of interactive three-dimensional graphics. PHENIX has been developed to provide a comprehensive system for macromolecular crystallo-graphic structure solution with an emphasis on the automation of all procedures. This has relied on the development of algorithms that minimize or eliminate subjective input, the development of algorithms that automate procedures that are traditionally performed by hand and, finally, the development of a framework that allows a tight integration between the algorithms.","author":[{"dropping-particle":"","family":"Adams","given":"Paul D.","non-dropping-particle":"","parse-names":false,"suffix":""},{"dropping-particle":"V.","family":"Afonine","given":"Pavel","non-dropping-particle":"","parse-names":false,"suffix":""},{"dropping-particle":"","family":"Bunkóczi","given":"Gábor","non-dropping-particle":"","parse-names":false,"suffix":""},{"dropping-particle":"","family":"Chen","given":"Vincent B.","non-dropping-particle":"","parse-names":false,"suffix":""},{"dropping-particle":"","family":"Davis","given":"Ian W.","non-dropping-particle":"","parse-names":false,"suffix":""},{"dropping-particle":"","family":"Echols","given":"Nathaniel","non-dropping-particle":"","parse-names":false,"suffix":""},{"dropping-particle":"","family":"Headd","given":"Jeffrey J.","non-dropping-particle":"","parse-names":false,"suffix":""},{"dropping-particle":"","family":"Hung","given":"Li Wei","non-dropping-particle":"","parse-names":false,"suffix":""},{"dropping-particle":"","family":"Kapral","given":"Gary J.","non-dropping-particle":"","parse-names":false,"suffix":""},{"dropping-particle":"","family":"Grosse-Kunstleve","given":"Ralf W.","non-dropping-particle":"","parse-names":false,"suffix":""},{"dropping-particle":"","family":"McCoy","given":"Airlie J.","non-dropping-particle":"","parse-names":false,"suffix":""},{"dropping-particle":"","family":"Moriarty","given":"Nigel W.","non-dropping-particle":"","parse-names":false,"suffix":""},{"dropping-particle":"","family":"Oeffner","given":"Robert","non-dropping-particle":"","parse-names":false,"suffix":""},{"dropping-particle":"","family":"Read","given":"Randy J.","non-dropping-particle":"","parse-names":false,"suffix":""},{"dropping-particle":"","family":"Richardson","given":"David C.","non-dropping-particle":"","parse-names":false,"suffix":""},{"dropping-particle":"","family":"Richardson","given":"Jane S.","non-dropping-particle":"","parse-names":false,"suffix":""},{"dropping-particle":"","family":"Terwilliger","given":"Thomas C.","non-dropping-particle":"","parse-names":false,"suffix":""},{"dropping-particle":"","family":"Zwart","given":"Peter H.","non-dropping-particle":"","parse-names":false,"suffix":""}],"container-title":"Acta Crystallographica Section D: Biological Crystallography","id":"ITEM-1","issue":"2","issued":{"date-parts":[["2010"]]},"page":"213-221","title":"PHENIX: A comprehensive Python-based system for macromolecular structure solution","type":"article-journal","volume":"66"},"uris":["http://www.mendeley.com/documents/?uuid=644cd11c-3240-40ec-a9fc-8f0c198043a2"]}],"mendeley":{"formattedCitation":"&lt;sup&gt;[51]&lt;/sup&gt;","plainTextFormattedCitation":"[51]","previouslyFormattedCitation":"&lt;sup&gt;[50]&lt;/sup&gt;"},"properties":{"noteIndex":0},"schema":"https://github.com/citation-style-language/schema/raw/master/csl-citation.json"}</w:instrText>
      </w:r>
      <w:r w:rsidR="003F3256" w:rsidRPr="00A02BDC">
        <w:rPr>
          <w:rStyle w:val="FootnoteReference"/>
        </w:rPr>
        <w:fldChar w:fldCharType="separate"/>
      </w:r>
      <w:r w:rsidR="00881F49" w:rsidRPr="00A02BDC">
        <w:rPr>
          <w:bCs/>
          <w:noProof/>
          <w:vertAlign w:val="superscript"/>
          <w:lang w:val="en-US"/>
        </w:rPr>
        <w:t>[51]</w:t>
      </w:r>
      <w:r w:rsidR="003F3256" w:rsidRPr="00A02BDC">
        <w:rPr>
          <w:rStyle w:val="FootnoteReference"/>
        </w:rPr>
        <w:fldChar w:fldCharType="end"/>
      </w:r>
      <w:r w:rsidRPr="00A02BDC">
        <w:t xml:space="preserve"> and BUSTER.</w:t>
      </w:r>
      <w:r w:rsidR="00F23FE0" w:rsidRPr="00A02BDC">
        <w:rPr>
          <w:vertAlign w:val="superscript"/>
        </w:rPr>
        <w:fldChar w:fldCharType="begin" w:fldLock="1"/>
      </w:r>
      <w:r w:rsidR="00881F49" w:rsidRPr="00A02BDC">
        <w:rPr>
          <w:vertAlign w:val="superscript"/>
        </w:rPr>
        <w:instrText>ADDIN CSL_CITATION {"citationItems":[{"id":"ITEM-1","itemData":{"author":[{"dropping-particle":"","family":"Bricogne, G; Blanc, E; Brandl, M; Flensburg, C; Keller, P; Paciorek, W; Roversi, P; Sharff, A; Smart, O.S; Vonrhein, C; Womack","given":"T.O;","non-dropping-particle":"","parse-names":false,"suffix":""}],"id":"ITEM-1","issued":{"date-parts":[["2017"]]},"number":"2.10.3","publisher":"Global Phasing Ltd.","publisher-place":"Cambridge, United Kingdom","title":"BUSTER version","type":"article"},"uris":["http://www.mendeley.com/documents/?uuid=1ce26e29-23e2-45a7-806a-ad5688f16562"]}],"mendeley":{"formattedCitation":"&lt;sup&gt;[52]&lt;/sup&gt;","plainTextFormattedCitation":"[52]","previouslyFormattedCitation":"&lt;sup&gt;[51]&lt;/sup&gt;"},"properties":{"noteIndex":0},"schema":"https://github.com/citation-style-language/schema/raw/master/csl-citation.json"}</w:instrText>
      </w:r>
      <w:r w:rsidR="00F23FE0" w:rsidRPr="00A02BDC">
        <w:rPr>
          <w:vertAlign w:val="superscript"/>
        </w:rPr>
        <w:fldChar w:fldCharType="separate"/>
      </w:r>
      <w:r w:rsidR="00881F49" w:rsidRPr="00A02BDC">
        <w:rPr>
          <w:noProof/>
          <w:vertAlign w:val="superscript"/>
        </w:rPr>
        <w:t>[52]</w:t>
      </w:r>
      <w:r w:rsidR="00F23FE0" w:rsidRPr="00A02BDC">
        <w:rPr>
          <w:vertAlign w:val="superscript"/>
        </w:rPr>
        <w:fldChar w:fldCharType="end"/>
      </w:r>
      <w:r w:rsidRPr="00A02BDC">
        <w:t xml:space="preserve"> Water molecules were added using ARP/wARP suite</w:t>
      </w:r>
      <w:r w:rsidR="003F3256" w:rsidRPr="00A02BDC">
        <w:rPr>
          <w:rStyle w:val="FootnoteReference"/>
        </w:rPr>
        <w:fldChar w:fldCharType="begin" w:fldLock="1"/>
      </w:r>
      <w:r w:rsidR="00881F49" w:rsidRPr="00A02BDC">
        <w:rPr>
          <w:vertAlign w:val="superscript"/>
        </w:rPr>
        <w:instrText>ADDIN CSL_CITATION {"citationItems":[{"id":"ITEM-1","itemData":{"DOI":"10.1038/nprot.2008.91","ISSN":"17542189","abstract":"ARP/wARP is a software suite to build macromolecular models in X-ray crystallography electron density maps. Structural genomics initiatives and the study of complex macromolecular assemblies and membrane proteins all rely on advanced methods for 3D structure determination. ARP/wARP meets these needs by providing the tools to obtain a macromolecular model automatically, with a reproducible computational procedure. ARP/ wARP 7.0 tackles several tasks: iterative protein model building including a high-level decision-making control module; fast construction of the secondary structure of a protein; building flexible loops in alternate conformations; fully automated placement of ligands, including a choice of the best-fitting ligand from a 'cocktail'; and finding ordered water molecules. All protocols are easy to handle by a nonexpert user through a graphical user interface or a command line. The time required is typically a few minutes although iterative model building may take a few hours.","author":[{"dropping-particle":"","family":"Langer","given":"Gerrit","non-dropping-particle":"","parse-names":false,"suffix":""},{"dropping-particle":"","family":"Cohen","given":"Serge X.","non-dropping-particle":"","parse-names":false,"suffix":""},{"dropping-particle":"","family":"Lamzin","given":"Victor S.","non-dropping-particle":"","parse-names":false,"suffix":""},{"dropping-particle":"","family":"Perrakis","given":"Anastassis","non-dropping-particle":"","parse-names":false,"suffix":""}],"container-title":"Nature Protocols","id":"ITEM-1","issue":"7","issued":{"date-parts":[["2008"]]},"page":"1171-1179","title":"Automated macromolecular model building for X-ray crystallography using ARP/wARP version 7","type":"article-journal","volume":"3"},"uris":["http://www.mendeley.com/documents/?uuid=a044cad4-f4fa-493d-95f6-1e2de0ed01f4"]}],"mendeley":{"formattedCitation":"&lt;sup&gt;[53]&lt;/sup&gt;","plainTextFormattedCitation":"[53]","previouslyFormattedCitation":"&lt;sup&gt;[52]&lt;/sup&gt;"},"properties":{"noteIndex":0},"schema":"https://github.com/citation-style-language/schema/raw/master/csl-citation.json"}</w:instrText>
      </w:r>
      <w:r w:rsidR="003F3256" w:rsidRPr="00A02BDC">
        <w:rPr>
          <w:rStyle w:val="FootnoteReference"/>
        </w:rPr>
        <w:fldChar w:fldCharType="separate"/>
      </w:r>
      <w:r w:rsidR="00881F49" w:rsidRPr="00A02BDC">
        <w:rPr>
          <w:bCs/>
          <w:noProof/>
          <w:vertAlign w:val="superscript"/>
          <w:lang w:val="en-US"/>
        </w:rPr>
        <w:t>[53]</w:t>
      </w:r>
      <w:r w:rsidR="003F3256" w:rsidRPr="00A02BDC">
        <w:rPr>
          <w:rStyle w:val="FootnoteReference"/>
        </w:rPr>
        <w:fldChar w:fldCharType="end"/>
      </w:r>
      <w:r w:rsidRPr="00A02BDC">
        <w:t xml:space="preserve"> and manually inspected in Coot. The final model was inspected and validated with MolProbity</w:t>
      </w:r>
      <w:r w:rsidR="008760EC" w:rsidRPr="00A02BDC">
        <w:t>.</w:t>
      </w:r>
      <w:r w:rsidR="003F3256" w:rsidRPr="00A02BDC">
        <w:rPr>
          <w:rStyle w:val="FootnoteReference"/>
        </w:rPr>
        <w:fldChar w:fldCharType="begin" w:fldLock="1"/>
      </w:r>
      <w:r w:rsidR="00881F49" w:rsidRPr="00A02BDC">
        <w:rPr>
          <w:vertAlign w:val="superscript"/>
        </w:rPr>
        <w:instrText>ADDIN CSL_CITATION {"citationItems":[{"id":"ITEM-1","itemData":{"DOI":"10.1107/S0907444909042073","ISSN":"09074449","abstract":"MolProbity is a structure-validation web service that provides broad-spectrum solidly based evaluation of model quality at both the global and local levels for both proteins and nucleic acids. It relies heavily on the power and sensitivity provided by optimized hydrogen placement and all-atom contact analysis, complemented by updated versions of covalent-geometry and torsion-angle criteria. Some of the local corrections can be performed automatically in MolProbity and all of the diagnostics are presented in chart and graphical forms that help guide manual rebuilding. X-ray crystallography provides a wealth of biologically important molecular data in the form of atomic three-dimensional structures of proteins, nucleic acids and increasingly large complexes in multiple forms and states. Advances in automation, in everything from crystallization to data collection to phasing to model building to refinement, have made solving a structure using crystallo-graphy easier than ever. However, despite these improvements, local errors that can affect biological interpretation are widespread at low resolution and even high-resolution structures nearly all contain at least a few local errors such as Ramachandran outliers, flipped branched protein side chains and incorrect sugar puckers. It is critical both for the crystallographer and for the end user that there are easy and reliable methods to diagnose and correct these sorts of errors in structures. MolProbity is the authors contribution to helping solve this problem and this article reviews its general capabilities, reports on recent enhancements and usage, and presents evidence that the resulting improvements are now beneficially affecting the global database. © 2010 International Union of Crystallography Printed in Singapore - all rights reserved.","author":[{"dropping-particle":"","family":"Chen","given":"Vincent B.","non-dropping-particle":"","parse-names":false,"suffix":""},{"dropping-particle":"","family":"Arendall","given":"W. Bryan","non-dropping-particle":"","parse-names":false,"suffix":""},{"dropping-particle":"","family":"Headd","given":"Jeffrey J.","non-dropping-particle":"","parse-names":false,"suffix":""},{"dropping-particle":"","family":"Keedy","given":"Daniel A.","non-dropping-particle":"","parse-names":false,"suffix":""},{"dropping-particle":"","family":"Immormino","given":"Robert M.","non-dropping-particle":"","parse-names":false,"suffix":""},{"dropping-particle":"","family":"Kapral","given":"Gary J.","non-dropping-particle":"","parse-names":false,"suffix":""},{"dropping-particle":"","family":"Murray","given":"Laura W.","non-dropping-particle":"","parse-names":false,"suffix":""},{"dropping-particle":"","family":"Richardson","given":"Jane S.","non-dropping-particle":"","parse-names":false,"suffix":""},{"dropping-particle":"","family":"Richardson","given":"David C.","non-dropping-particle":"","parse-names":false,"suffix":""}],"container-title":"Acta Crystallographica Section D: Biological Crystallography","id":"ITEM-1","issue":"1","issued":{"date-parts":[["2010"]]},"page":"12-21","publisher":"International Union of Crystallography","title":"MolProbity: All-atom structure validation for macromolecular crystallography","type":"article-journal","volume":"66"},"uris":["http://www.mendeley.com/documents/?uuid=bec46895-1cd3-47ed-9467-c006b79b8483"]}],"mendeley":{"formattedCitation":"&lt;sup&gt;[54]&lt;/sup&gt;","plainTextFormattedCitation":"[54]","previouslyFormattedCitation":"&lt;sup&gt;[53]&lt;/sup&gt;"},"properties":{"noteIndex":0},"schema":"https://github.com/citation-style-language/schema/raw/master/csl-citation.json"}</w:instrText>
      </w:r>
      <w:r w:rsidR="003F3256" w:rsidRPr="00A02BDC">
        <w:rPr>
          <w:rStyle w:val="FootnoteReference"/>
        </w:rPr>
        <w:fldChar w:fldCharType="separate"/>
      </w:r>
      <w:r w:rsidR="00881F49" w:rsidRPr="00A02BDC">
        <w:rPr>
          <w:bCs/>
          <w:noProof/>
          <w:vertAlign w:val="superscript"/>
          <w:lang w:val="en-US"/>
        </w:rPr>
        <w:t>[54]</w:t>
      </w:r>
      <w:r w:rsidR="003F3256" w:rsidRPr="00A02BDC">
        <w:rPr>
          <w:rStyle w:val="FootnoteReference"/>
        </w:rPr>
        <w:fldChar w:fldCharType="end"/>
      </w:r>
      <w:r w:rsidRPr="00A02BDC">
        <w:t xml:space="preserve"> Coordinates and structure factors of the </w:t>
      </w:r>
      <w:r w:rsidRPr="00A02BDC">
        <w:rPr>
          <w:i/>
          <w:iCs/>
        </w:rPr>
        <w:t>Ahe</w:t>
      </w:r>
      <w:r w:rsidRPr="00A02BDC">
        <w:t>GH1 have been deposited in the Protein Data Bank (www.rscb.org) with accession code 6YN7.</w:t>
      </w:r>
    </w:p>
    <w:p w14:paraId="0EC0FF8B" w14:textId="0DE8E74A" w:rsidR="00537F31" w:rsidRPr="00A02BDC" w:rsidRDefault="00537F31" w:rsidP="00750A9C">
      <w:pPr>
        <w:pStyle w:val="Heading2"/>
        <w:numPr>
          <w:ilvl w:val="0"/>
          <w:numId w:val="0"/>
        </w:numPr>
        <w:ind w:left="576" w:hanging="576"/>
        <w:rPr>
          <w:lang w:val="en-AU"/>
        </w:rPr>
      </w:pPr>
      <w:r w:rsidRPr="00A02BDC">
        <w:rPr>
          <w:lang w:val="en-AU"/>
        </w:rPr>
        <w:t xml:space="preserve">Activity </w:t>
      </w:r>
      <w:r w:rsidR="00196A3B" w:rsidRPr="00A02BDC">
        <w:rPr>
          <w:lang w:val="en-AU"/>
        </w:rPr>
        <w:t>assay</w:t>
      </w:r>
      <w:r w:rsidRPr="00A02BDC">
        <w:rPr>
          <w:lang w:val="en-AU"/>
        </w:rPr>
        <w:t xml:space="preserve"> and kinetics</w:t>
      </w:r>
    </w:p>
    <w:p w14:paraId="0B645ECB" w14:textId="43DD2929" w:rsidR="00537F31" w:rsidRPr="00A02BDC" w:rsidRDefault="00070AA3" w:rsidP="00537F31">
      <w:pPr>
        <w:jc w:val="both"/>
        <w:rPr>
          <w:lang w:val="en-AU"/>
        </w:rPr>
      </w:pPr>
      <w:r w:rsidRPr="00A02BDC">
        <w:rPr>
          <w:rFonts w:cs="Times New Roman"/>
          <w:lang w:val="en-AU"/>
        </w:rPr>
        <w:t xml:space="preserve">Standard </w:t>
      </w:r>
      <w:r w:rsidR="00537F31" w:rsidRPr="00A02BDC">
        <w:rPr>
          <w:rFonts w:cs="Times New Roman"/>
          <w:lang w:val="en-AU"/>
        </w:rPr>
        <w:t>β</w:t>
      </w:r>
      <w:r w:rsidR="00537F31" w:rsidRPr="00A02BDC">
        <w:rPr>
          <w:lang w:val="en-AU"/>
        </w:rPr>
        <w:t xml:space="preserve">-glucosidase activity was determined spectrophotometrically using 10 mM </w:t>
      </w:r>
      <w:r w:rsidR="00537F31" w:rsidRPr="00A02BDC">
        <w:rPr>
          <w:i/>
          <w:lang w:val="en-AU"/>
        </w:rPr>
        <w:t>p</w:t>
      </w:r>
      <w:r w:rsidR="00537F31" w:rsidRPr="00A02BDC">
        <w:rPr>
          <w:lang w:val="en-AU"/>
        </w:rPr>
        <w:t>-nitrophenyl-</w:t>
      </w:r>
      <w:r w:rsidR="00537F31" w:rsidRPr="00A02BDC">
        <w:rPr>
          <w:rFonts w:cs="Times New Roman"/>
          <w:lang w:val="en-AU"/>
        </w:rPr>
        <w:t>β</w:t>
      </w:r>
      <w:r w:rsidR="00537F31" w:rsidRPr="00A02BDC">
        <w:rPr>
          <w:lang w:val="en-AU"/>
        </w:rPr>
        <w:t>-</w:t>
      </w:r>
      <w:r w:rsidR="00537F31" w:rsidRPr="00A02BDC">
        <w:rPr>
          <w:sz w:val="22"/>
          <w:szCs w:val="20"/>
          <w:lang w:val="en-AU"/>
        </w:rPr>
        <w:t>D</w:t>
      </w:r>
      <w:r w:rsidR="00537F31" w:rsidRPr="00A02BDC">
        <w:rPr>
          <w:lang w:val="en-AU"/>
        </w:rPr>
        <w:t>-glucopyranoside (</w:t>
      </w:r>
      <w:r w:rsidR="00537F31" w:rsidRPr="00A02BDC">
        <w:rPr>
          <w:i/>
          <w:iCs/>
          <w:lang w:val="en-AU"/>
        </w:rPr>
        <w:t>p</w:t>
      </w:r>
      <w:r w:rsidR="00537F31" w:rsidRPr="00A02BDC">
        <w:rPr>
          <w:lang w:val="en-AU"/>
        </w:rPr>
        <w:t xml:space="preserve">NPG) at 25 </w:t>
      </w:r>
      <w:r w:rsidR="00537F31" w:rsidRPr="00A02BDC">
        <w:rPr>
          <w:rFonts w:cs="Times New Roman"/>
          <w:lang w:val="en-AU"/>
        </w:rPr>
        <w:t>º</w:t>
      </w:r>
      <w:r w:rsidR="00537F31" w:rsidRPr="00A02BDC">
        <w:rPr>
          <w:lang w:val="en-AU"/>
        </w:rPr>
        <w:t xml:space="preserve">C. 10 µL of </w:t>
      </w:r>
      <w:r w:rsidRPr="00A02BDC">
        <w:rPr>
          <w:lang w:val="en-AU"/>
        </w:rPr>
        <w:t xml:space="preserve">a </w:t>
      </w:r>
      <w:r w:rsidR="00537F31" w:rsidRPr="00A02BDC">
        <w:rPr>
          <w:lang w:val="en-AU"/>
        </w:rPr>
        <w:t xml:space="preserve">suitable enzyme dilution was added to a 96-well plate per triplicate. Immediately before the assay, 0.29 mL of the reaction solution HEPES (50 mM), </w:t>
      </w:r>
      <w:r w:rsidR="00537F31" w:rsidRPr="00A02BDC">
        <w:rPr>
          <w:i/>
          <w:iCs/>
          <w:lang w:val="en-AU"/>
        </w:rPr>
        <w:t>p</w:t>
      </w:r>
      <w:r w:rsidR="00537F31" w:rsidRPr="00A02BDC">
        <w:rPr>
          <w:lang w:val="en-AU"/>
        </w:rPr>
        <w:t>NP</w:t>
      </w:r>
      <w:r w:rsidR="00357CF4" w:rsidRPr="00A02BDC">
        <w:rPr>
          <w:lang w:val="en-AU"/>
        </w:rPr>
        <w:t>G</w:t>
      </w:r>
      <w:r w:rsidR="00537F31" w:rsidRPr="00A02BDC">
        <w:rPr>
          <w:lang w:val="en-AU"/>
        </w:rPr>
        <w:t xml:space="preserve"> (10 mM), pH 7.4 were added and the </w:t>
      </w:r>
      <w:r w:rsidR="00357CF4" w:rsidRPr="00A02BDC">
        <w:rPr>
          <w:i/>
          <w:iCs/>
          <w:lang w:val="en-AU"/>
        </w:rPr>
        <w:t>p</w:t>
      </w:r>
      <w:r w:rsidR="00537F31" w:rsidRPr="00A02BDC">
        <w:rPr>
          <w:lang w:val="en-AU"/>
        </w:rPr>
        <w:t>-nitrophenol formation was followed at 420 nm for 10 minutes. The specific activity (U/mg) was expressed as µmol of product formed per minute per milligram of protein.</w:t>
      </w:r>
      <w:r w:rsidR="000A0956" w:rsidRPr="00A02BDC">
        <w:t xml:space="preserve"> The extinction coefficient used for the </w:t>
      </w:r>
      <w:r w:rsidR="000A0956" w:rsidRPr="00A02BDC">
        <w:rPr>
          <w:i/>
          <w:iCs/>
        </w:rPr>
        <w:t>p</w:t>
      </w:r>
      <w:r w:rsidR="000A0956" w:rsidRPr="00A02BDC">
        <w:t>-nitrophenol was calculated to be 8.64 mM</w:t>
      </w:r>
      <w:r w:rsidR="000A0956" w:rsidRPr="00A02BDC">
        <w:rPr>
          <w:vertAlign w:val="superscript"/>
        </w:rPr>
        <w:t>-1</w:t>
      </w:r>
      <w:r w:rsidR="000A0956" w:rsidRPr="00A02BDC">
        <w:t>cm</w:t>
      </w:r>
      <w:r w:rsidR="000A0956" w:rsidRPr="00A02BDC">
        <w:rPr>
          <w:vertAlign w:val="superscript"/>
        </w:rPr>
        <w:t>-1</w:t>
      </w:r>
      <w:r w:rsidR="000A0956" w:rsidRPr="00A02BDC">
        <w:t>.</w:t>
      </w:r>
    </w:p>
    <w:p w14:paraId="4312C86F" w14:textId="56DE09CB" w:rsidR="003525E1" w:rsidRPr="00A02BDC" w:rsidRDefault="00537F31" w:rsidP="008C3736">
      <w:pPr>
        <w:jc w:val="both"/>
        <w:rPr>
          <w:lang w:val="en-AU"/>
        </w:rPr>
      </w:pPr>
      <w:r w:rsidRPr="00A02BDC">
        <w:rPr>
          <w:lang w:val="en-AU"/>
        </w:rPr>
        <w:t>To measure the kinetic properties of the studied enzyme,</w:t>
      </w:r>
      <w:r w:rsidR="00357CF4" w:rsidRPr="00A02BDC">
        <w:rPr>
          <w:lang w:val="en-AU"/>
        </w:rPr>
        <w:t xml:space="preserve"> different </w:t>
      </w:r>
      <w:r w:rsidRPr="00A02BDC">
        <w:rPr>
          <w:lang w:val="en-AU"/>
        </w:rPr>
        <w:t>concentration</w:t>
      </w:r>
      <w:r w:rsidR="00A3460B" w:rsidRPr="00A02BDC">
        <w:rPr>
          <w:lang w:val="en-AU"/>
        </w:rPr>
        <w:t>s</w:t>
      </w:r>
      <w:r w:rsidRPr="00A02BDC">
        <w:rPr>
          <w:lang w:val="en-AU"/>
        </w:rPr>
        <w:t xml:space="preserve"> of the substrate w</w:t>
      </w:r>
      <w:r w:rsidR="00357CF4" w:rsidRPr="00A02BDC">
        <w:rPr>
          <w:lang w:val="en-AU"/>
        </w:rPr>
        <w:t>ere used</w:t>
      </w:r>
      <w:r w:rsidRPr="00A02BDC">
        <w:rPr>
          <w:lang w:val="en-AU"/>
        </w:rPr>
        <w:t>, and the enzymatic</w:t>
      </w:r>
      <w:r w:rsidR="00357CF4" w:rsidRPr="00A02BDC">
        <w:rPr>
          <w:lang w:val="en-AU"/>
        </w:rPr>
        <w:t xml:space="preserve"> </w:t>
      </w:r>
      <w:r w:rsidRPr="00A02BDC">
        <w:rPr>
          <w:lang w:val="en-AU"/>
        </w:rPr>
        <w:t>activity</w:t>
      </w:r>
      <w:r w:rsidR="00357CF4" w:rsidRPr="00A02BDC">
        <w:rPr>
          <w:lang w:val="en-AU"/>
        </w:rPr>
        <w:t xml:space="preserve"> was</w:t>
      </w:r>
      <w:r w:rsidRPr="00A02BDC">
        <w:rPr>
          <w:lang w:val="en-AU"/>
        </w:rPr>
        <w:t xml:space="preserve"> measured using the same method as in the standard activity </w:t>
      </w:r>
      <w:r w:rsidRPr="00A02BDC">
        <w:rPr>
          <w:lang w:val="en-AU"/>
        </w:rPr>
        <w:lastRenderedPageBreak/>
        <w:t xml:space="preserve">assay. Data </w:t>
      </w:r>
      <w:r w:rsidR="00EB30DB" w:rsidRPr="00A02BDC">
        <w:rPr>
          <w:lang w:val="en-AU"/>
        </w:rPr>
        <w:t xml:space="preserve">were </w:t>
      </w:r>
      <w:r w:rsidRPr="00A02BDC">
        <w:rPr>
          <w:lang w:val="en-AU"/>
        </w:rPr>
        <w:t xml:space="preserve">then plotted and fitted to </w:t>
      </w:r>
      <w:r w:rsidR="002D69F5" w:rsidRPr="00A02BDC">
        <w:rPr>
          <w:lang w:val="en-AU"/>
        </w:rPr>
        <w:t xml:space="preserve">a </w:t>
      </w:r>
      <w:r w:rsidR="002A0EF7" w:rsidRPr="00A02BDC">
        <w:rPr>
          <w:lang w:val="en-AU"/>
        </w:rPr>
        <w:t>substrate inhibition</w:t>
      </w:r>
      <w:r w:rsidRPr="00A02BDC">
        <w:rPr>
          <w:lang w:val="en-AU"/>
        </w:rPr>
        <w:t xml:space="preserve"> curve</w:t>
      </w:r>
      <w:r w:rsidR="002D69F5" w:rsidRPr="00A02BDC">
        <w:rPr>
          <w:lang w:val="en-AU"/>
        </w:rPr>
        <w:fldChar w:fldCharType="begin" w:fldLock="1"/>
      </w:r>
      <w:r w:rsidR="00881F49" w:rsidRPr="00A02BDC">
        <w:rPr>
          <w:lang w:val="en-AU"/>
        </w:rPr>
        <w:instrText>ADDIN CSL_CITATION {"citationItems":[{"id":"ITEM-1","itemData":{"DOI":"10.1002/0471220639","ISBN":"0471359297","ISSN":"00032697","author":[{"dropping-particle":"","family":"Copeland","given":"Robert A.","non-dropping-particle":"","parse-names":false,"suffix":""}],"edition":"2nd","id":"ITEM-1","issued":{"date-parts":[["2000"]]},"publisher":"Wiley-VCH, Inc.","publisher-place":"New York","title":"Enzymes. A Practical Introduction to Structure, Mechanism, and Data Analysis","type":"book"},"uris":["http://www.mendeley.com/documents/?uuid=bd52f411-d4c8-43d4-a3c1-b1eacea561ef"]}],"mendeley":{"formattedCitation":"&lt;sup&gt;[31]&lt;/sup&gt;","plainTextFormattedCitation":"[31]","previouslyFormattedCitation":"&lt;sup&gt;[31]&lt;/sup&gt;"},"properties":{"noteIndex":0},"schema":"https://github.com/citation-style-language/schema/raw/master/csl-citation.json"}</w:instrText>
      </w:r>
      <w:r w:rsidR="002D69F5" w:rsidRPr="00A02BDC">
        <w:rPr>
          <w:lang w:val="en-AU"/>
        </w:rPr>
        <w:fldChar w:fldCharType="separate"/>
      </w:r>
      <w:r w:rsidR="00881F49" w:rsidRPr="00A02BDC">
        <w:rPr>
          <w:noProof/>
          <w:vertAlign w:val="superscript"/>
          <w:lang w:val="en-AU"/>
        </w:rPr>
        <w:t>[31]</w:t>
      </w:r>
      <w:r w:rsidR="002D69F5" w:rsidRPr="00A02BDC">
        <w:rPr>
          <w:lang w:val="en-AU"/>
        </w:rPr>
        <w:fldChar w:fldCharType="end"/>
      </w:r>
      <w:r w:rsidRPr="00A02BDC">
        <w:rPr>
          <w:lang w:val="en-AU"/>
        </w:rPr>
        <w:t xml:space="preserve"> </w:t>
      </w:r>
      <m:oMath>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m:t>
            </m:r>
            <m:f>
              <m:fPr>
                <m:ctrlPr>
                  <w:rPr>
                    <w:rFonts w:ascii="Cambria Math" w:hAnsi="Cambria Math"/>
                    <w:lang w:val="en-US"/>
                  </w:rPr>
                </m:ctrlPr>
              </m:fPr>
              <m:num>
                <m:sSub>
                  <m:sSubPr>
                    <m:ctrlPr>
                      <w:rPr>
                        <w:rFonts w:ascii="Cambria Math" w:hAnsi="Cambria Math"/>
                        <w:i/>
                        <w:iCs/>
                        <w:lang w:val="en-US"/>
                      </w:rPr>
                    </m:ctrlPr>
                  </m:sSubPr>
                  <m:e>
                    <m:r>
                      <w:rPr>
                        <w:rFonts w:ascii="Cambria Math" w:hAnsi="Cambria Math"/>
                        <w:lang w:val="en-US"/>
                      </w:rPr>
                      <m:t>k</m:t>
                    </m:r>
                  </m:e>
                  <m:sub>
                    <m:r>
                      <w:rPr>
                        <w:rFonts w:ascii="Cambria Math" w:hAnsi="Cambria Math"/>
                        <w:lang w:val="en-US"/>
                      </w:rPr>
                      <m:t>cat</m:t>
                    </m:r>
                  </m:sub>
                </m:sSub>
              </m:num>
              <m:den>
                <m:r>
                  <m:rPr>
                    <m:sty m:val="p"/>
                  </m:rPr>
                  <w:rPr>
                    <w:rFonts w:ascii="Cambria Math" w:hAnsi="Cambria Math"/>
                    <w:lang w:val="en-US"/>
                  </w:rPr>
                  <m:t>1+</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m</m:t>
                        </m:r>
                      </m:sub>
                    </m:sSub>
                  </m:num>
                  <m:den>
                    <m:r>
                      <w:rPr>
                        <w:rFonts w:ascii="Cambria Math" w:hAnsi="Cambria Math"/>
                        <w:lang w:val="en-US"/>
                      </w:rPr>
                      <m:t>[</m:t>
                    </m:r>
                    <m:r>
                      <m:rPr>
                        <m:sty m:val="p"/>
                      </m:rPr>
                      <w:rPr>
                        <w:rFonts w:ascii="Cambria Math" w:hAnsi="Cambria Math"/>
                        <w:lang w:val="en-US"/>
                      </w:rPr>
                      <m:t>S</m:t>
                    </m:r>
                    <m:r>
                      <w:rPr>
                        <w:rFonts w:ascii="Cambria Math" w:hAnsi="Cambria Math"/>
                        <w:lang w:val="en-US"/>
                      </w:rPr>
                      <m:t>]</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m:t>
                    </m:r>
                    <m:r>
                      <m:rPr>
                        <m:sty m:val="p"/>
                      </m:rPr>
                      <w:rPr>
                        <w:rFonts w:ascii="Cambria Math" w:hAnsi="Cambria Math"/>
                        <w:lang w:val="en-US"/>
                      </w:rPr>
                      <m:t>S</m:t>
                    </m:r>
                    <m:r>
                      <w:rPr>
                        <w:rFonts w:ascii="Cambria Math" w:hAnsi="Cambria Math"/>
                        <w:lang w:val="en-US"/>
                      </w:rPr>
                      <m:t>]</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i</m:t>
                        </m:r>
                      </m:sub>
                    </m:sSub>
                  </m:den>
                </m:f>
              </m:den>
            </m:f>
          </m:e>
        </m:d>
      </m:oMath>
      <w:r w:rsidR="00A71D8B" w:rsidRPr="00A02BDC">
        <w:rPr>
          <w:lang w:val="en-US"/>
        </w:rPr>
        <w:t xml:space="preserve"> using </w:t>
      </w:r>
      <w:r w:rsidRPr="00A02BDC">
        <w:rPr>
          <w:lang w:val="en-AU"/>
        </w:rPr>
        <w:t>GraphPa</w:t>
      </w:r>
      <w:r w:rsidR="00BC2E1F" w:rsidRPr="00A02BDC">
        <w:rPr>
          <w:lang w:val="en-AU"/>
        </w:rPr>
        <w:t xml:space="preserve">d Prism </w:t>
      </w:r>
      <w:r w:rsidR="003F6CFA" w:rsidRPr="00A02BDC">
        <w:rPr>
          <w:lang w:val="en-AU"/>
        </w:rPr>
        <w:t>8</w:t>
      </w:r>
      <w:r w:rsidR="00612EA3" w:rsidRPr="00A02BDC">
        <w:t>.</w:t>
      </w:r>
    </w:p>
    <w:p w14:paraId="13535F8C" w14:textId="608279BD" w:rsidR="003525E1" w:rsidRPr="00A02BDC" w:rsidRDefault="00617556" w:rsidP="00750A9C">
      <w:pPr>
        <w:pStyle w:val="Heading2"/>
        <w:numPr>
          <w:ilvl w:val="0"/>
          <w:numId w:val="0"/>
        </w:numPr>
        <w:ind w:left="576" w:hanging="576"/>
      </w:pPr>
      <w:r w:rsidRPr="00A02BDC">
        <w:t>Synthetic isoflavones standards</w:t>
      </w:r>
    </w:p>
    <w:p w14:paraId="317E13CD" w14:textId="19676158" w:rsidR="008C3736" w:rsidRPr="00A02BDC" w:rsidRDefault="00617556" w:rsidP="00750A9C">
      <w:pPr>
        <w:pStyle w:val="Heading3"/>
        <w:numPr>
          <w:ilvl w:val="0"/>
          <w:numId w:val="0"/>
        </w:numPr>
        <w:ind w:left="720" w:hanging="720"/>
      </w:pPr>
      <w:r w:rsidRPr="00A02BDC">
        <w:t>Stock solutions</w:t>
      </w:r>
    </w:p>
    <w:p w14:paraId="2E0E38F3" w14:textId="412D5AB5" w:rsidR="008C3736" w:rsidRPr="00A02BDC" w:rsidRDefault="008C3736" w:rsidP="008C3736">
      <w:pPr>
        <w:jc w:val="both"/>
        <w:rPr>
          <w:lang w:val="en-AU"/>
        </w:rPr>
      </w:pPr>
      <w:r w:rsidRPr="00A02BDC">
        <w:rPr>
          <w:lang w:val="en-AU"/>
        </w:rPr>
        <w:t xml:space="preserve">Stock solutions for the β-glucoside isoflavones (daidzin, glycitin and genistin) and for the aglycon isoflavones (daidzein, glycitein and genistein) were prepared from authentic samples (1 mg/mL in ethanol for daidzin, daidzein and genistein and 1 mg/mL in DMSO for genistin, glycitin and glycitein). Calibration solutions were prepared by dilution of the main stock solutions. </w:t>
      </w:r>
    </w:p>
    <w:p w14:paraId="7D4CC35E" w14:textId="4CCA78DD" w:rsidR="00210C7C" w:rsidRPr="00A02BDC" w:rsidRDefault="00E953EC" w:rsidP="00750A9C">
      <w:pPr>
        <w:pStyle w:val="Heading3"/>
        <w:numPr>
          <w:ilvl w:val="0"/>
          <w:numId w:val="0"/>
        </w:numPr>
        <w:ind w:left="720" w:hanging="720"/>
      </w:pPr>
      <w:r w:rsidRPr="00A02BDC">
        <w:rPr>
          <w:lang w:val="en-AU"/>
        </w:rPr>
        <w:t xml:space="preserve">Enzymatic reaction </w:t>
      </w:r>
    </w:p>
    <w:p w14:paraId="18FBA927" w14:textId="1F128E8D" w:rsidR="008C3736" w:rsidRPr="00A02BDC" w:rsidRDefault="00210C7C" w:rsidP="008C3736">
      <w:pPr>
        <w:jc w:val="both"/>
        <w:rPr>
          <w:lang w:val="en-AU"/>
        </w:rPr>
      </w:pPr>
      <w:r w:rsidRPr="00A02BDC">
        <w:rPr>
          <w:lang w:val="en-AU"/>
        </w:rPr>
        <w:t xml:space="preserve">Prior to the testing of the enzyme </w:t>
      </w:r>
      <w:r w:rsidR="00E953EC" w:rsidRPr="00A02BDC">
        <w:rPr>
          <w:lang w:val="en-AU"/>
        </w:rPr>
        <w:t>i</w:t>
      </w:r>
      <w:r w:rsidR="00AE4C74" w:rsidRPr="00A02BDC">
        <w:rPr>
          <w:lang w:val="en-AU"/>
        </w:rPr>
        <w:t>n</w:t>
      </w:r>
      <w:r w:rsidRPr="00A02BDC">
        <w:rPr>
          <w:lang w:val="en-AU"/>
        </w:rPr>
        <w:t xml:space="preserve"> the real matrix, a solution containing the 3 main isoflavone glucosides present in soy</w:t>
      </w:r>
      <w:r w:rsidR="00B0758C" w:rsidRPr="00A02BDC">
        <w:rPr>
          <w:lang w:val="en-AU"/>
        </w:rPr>
        <w:t>beans</w:t>
      </w:r>
      <w:r w:rsidRPr="00A02BDC">
        <w:rPr>
          <w:lang w:val="en-AU"/>
        </w:rPr>
        <w:t xml:space="preserve"> (daidzin, genistin and glycitin</w:t>
      </w:r>
      <w:r w:rsidR="00AE4C74" w:rsidRPr="00A02BDC">
        <w:rPr>
          <w:lang w:val="en-AU"/>
        </w:rPr>
        <w:t>) was prepared</w:t>
      </w:r>
      <w:r w:rsidR="005276EA" w:rsidRPr="00A02BDC">
        <w:rPr>
          <w:lang w:val="en-AU"/>
        </w:rPr>
        <w:t xml:space="preserve"> in triplicate</w:t>
      </w:r>
      <w:r w:rsidR="00AE4C74" w:rsidRPr="00A02BDC">
        <w:rPr>
          <w:lang w:val="en-AU"/>
        </w:rPr>
        <w:t xml:space="preserve">. </w:t>
      </w:r>
      <w:r w:rsidR="005276EA" w:rsidRPr="00A02BDC">
        <w:rPr>
          <w:lang w:val="en-AU"/>
        </w:rPr>
        <w:t xml:space="preserve">100 </w:t>
      </w:r>
      <w:r w:rsidR="005276EA" w:rsidRPr="00A02BDC">
        <w:rPr>
          <w:rFonts w:cs="Times New Roman"/>
          <w:lang w:val="en-AU"/>
        </w:rPr>
        <w:t>µ</w:t>
      </w:r>
      <w:r w:rsidR="005276EA" w:rsidRPr="00A02BDC">
        <w:rPr>
          <w:lang w:val="en-AU"/>
        </w:rPr>
        <w:t xml:space="preserve">L sample containing the 3 isoflavones glucosides (150 </w:t>
      </w:r>
      <w:r w:rsidR="005276EA" w:rsidRPr="00A02BDC">
        <w:rPr>
          <w:rFonts w:cs="Times New Roman"/>
          <w:lang w:val="en-AU"/>
        </w:rPr>
        <w:t>µ</w:t>
      </w:r>
      <w:r w:rsidR="005276EA" w:rsidRPr="00A02BDC">
        <w:rPr>
          <w:lang w:val="en-AU"/>
        </w:rPr>
        <w:t xml:space="preserve">g/mL final concentration) and the enzyme (0.05 mg/mL final concentration) were left in agitation at 30 </w:t>
      </w:r>
      <w:r w:rsidR="002D69F5" w:rsidRPr="00A02BDC">
        <w:rPr>
          <w:lang w:val="en-AU"/>
        </w:rPr>
        <w:t>°</w:t>
      </w:r>
      <w:r w:rsidR="005276EA" w:rsidRPr="00A02BDC">
        <w:rPr>
          <w:lang w:val="en-AU"/>
        </w:rPr>
        <w:t xml:space="preserve">C for 15 minutes. After that time, 450 </w:t>
      </w:r>
      <w:r w:rsidR="005276EA" w:rsidRPr="00A02BDC">
        <w:rPr>
          <w:rFonts w:cs="Times New Roman"/>
          <w:lang w:val="en-AU"/>
        </w:rPr>
        <w:t>µ</w:t>
      </w:r>
      <w:r w:rsidR="005276EA" w:rsidRPr="00A02BDC">
        <w:rPr>
          <w:lang w:val="en-AU"/>
        </w:rPr>
        <w:t>L of ACN were added to stop the enzymatic reaction and 450 µL of distil</w:t>
      </w:r>
      <w:r w:rsidR="00CD6C4E" w:rsidRPr="00A02BDC">
        <w:rPr>
          <w:lang w:val="en-AU"/>
        </w:rPr>
        <w:t>led</w:t>
      </w:r>
      <w:r w:rsidR="005276EA" w:rsidRPr="00A02BDC">
        <w:rPr>
          <w:lang w:val="en-AU"/>
        </w:rPr>
        <w:t xml:space="preserve"> water were added to top up until 1 mL total volume. The samples were then analysed by HPLC.</w:t>
      </w:r>
    </w:p>
    <w:p w14:paraId="3238FCFF" w14:textId="33D54D1A" w:rsidR="00E75EEC" w:rsidRPr="00A02BDC" w:rsidRDefault="004923C2" w:rsidP="00750A9C">
      <w:pPr>
        <w:pStyle w:val="Heading2"/>
        <w:numPr>
          <w:ilvl w:val="0"/>
          <w:numId w:val="0"/>
        </w:numPr>
        <w:ind w:left="576" w:hanging="576"/>
        <w:rPr>
          <w:lang w:val="en-AU"/>
        </w:rPr>
      </w:pPr>
      <w:r w:rsidRPr="00A02BDC">
        <w:t>Isoflavone e</w:t>
      </w:r>
      <w:r w:rsidR="00B96393" w:rsidRPr="00A02BDC">
        <w:t>xtraction</w:t>
      </w:r>
      <w:r w:rsidR="001101C4" w:rsidRPr="00A02BDC">
        <w:t xml:space="preserve"> </w:t>
      </w:r>
      <w:r w:rsidRPr="00A02BDC">
        <w:t>from soybean flour</w:t>
      </w:r>
    </w:p>
    <w:p w14:paraId="31049411" w14:textId="25F386F3" w:rsidR="008C3736" w:rsidRPr="00A02BDC" w:rsidRDefault="00365F18" w:rsidP="008C3736">
      <w:pPr>
        <w:jc w:val="both"/>
      </w:pPr>
      <w:r w:rsidRPr="00A02BDC">
        <w:t xml:space="preserve">1 g </w:t>
      </w:r>
      <w:r w:rsidR="008A6B5F" w:rsidRPr="00A02BDC">
        <w:t xml:space="preserve">of soybean flour </w:t>
      </w:r>
      <w:r w:rsidRPr="00A02BDC">
        <w:t xml:space="preserve">was weighted out and </w:t>
      </w:r>
      <w:r w:rsidR="00BE7044" w:rsidRPr="00A02BDC">
        <w:t>suspended in</w:t>
      </w:r>
      <w:r w:rsidRPr="00A02BDC">
        <w:t xml:space="preserve"> 4 mL of ethanol and 16 mL of distil</w:t>
      </w:r>
      <w:r w:rsidR="00CD6C4E" w:rsidRPr="00A02BDC">
        <w:t>led</w:t>
      </w:r>
      <w:r w:rsidRPr="00A02BDC">
        <w:t xml:space="preserve"> water. The sample was then sonicated for 20 min (5 s on, 5 s off, 60% </w:t>
      </w:r>
      <w:r w:rsidR="004575CD" w:rsidRPr="00A02BDC">
        <w:t>amplitude, ¼ inch probe, Fisherbrand™ Model 120 Sonic Dismembrator</w:t>
      </w:r>
      <w:r w:rsidRPr="00A02BDC">
        <w:t xml:space="preserve">) centrifuged for 30 min at 4500 </w:t>
      </w:r>
      <w:r w:rsidR="004575CD" w:rsidRPr="00A02BDC">
        <w:t xml:space="preserve">g </w:t>
      </w:r>
      <w:r w:rsidRPr="00A02BDC">
        <w:t xml:space="preserve">and filtered using a 0.45 µm filter. </w:t>
      </w:r>
    </w:p>
    <w:p w14:paraId="30C54211" w14:textId="326D9547" w:rsidR="00357CF4" w:rsidRPr="00A02BDC" w:rsidRDefault="00357CF4" w:rsidP="00750A9C">
      <w:pPr>
        <w:pStyle w:val="Heading2"/>
        <w:numPr>
          <w:ilvl w:val="0"/>
          <w:numId w:val="0"/>
        </w:numPr>
        <w:ind w:left="576" w:hanging="576"/>
      </w:pPr>
      <w:r w:rsidRPr="00A02BDC">
        <w:t>Enzymatic biotransformation</w:t>
      </w:r>
    </w:p>
    <w:p w14:paraId="5FFF9BC5" w14:textId="10F08EDF" w:rsidR="00EF553D" w:rsidRPr="00A02BDC" w:rsidRDefault="00357CF4" w:rsidP="00EF553D">
      <w:pPr>
        <w:jc w:val="both"/>
        <w:rPr>
          <w:lang w:val="en-AU"/>
        </w:rPr>
      </w:pPr>
      <w:r w:rsidRPr="00A02BDC">
        <w:t xml:space="preserve">After the extraction, 0.5 mg/mL of </w:t>
      </w:r>
      <w:r w:rsidRPr="00A02BDC">
        <w:rPr>
          <w:i/>
          <w:iCs/>
        </w:rPr>
        <w:t>Ahe</w:t>
      </w:r>
      <w:r w:rsidR="00617556" w:rsidRPr="00A02BDC">
        <w:t>GH1</w:t>
      </w:r>
      <w:r w:rsidRPr="00A02BDC">
        <w:t xml:space="preserve"> were added </w:t>
      </w:r>
      <w:r w:rsidR="008A6B5F" w:rsidRPr="00A02BDC">
        <w:t xml:space="preserve">to a tube containing 3 mL of soybean extraction, </w:t>
      </w:r>
      <w:r w:rsidR="00CD6C4E" w:rsidRPr="00A02BDC">
        <w:t xml:space="preserve">in </w:t>
      </w:r>
      <w:r w:rsidR="008A6B5F" w:rsidRPr="00A02BDC">
        <w:t xml:space="preserve">triplicate, </w:t>
      </w:r>
      <w:r w:rsidRPr="00A02BDC">
        <w:t>and the samples w</w:t>
      </w:r>
      <w:r w:rsidR="009A55F4" w:rsidRPr="00A02BDC">
        <w:t>ere</w:t>
      </w:r>
      <w:r w:rsidRPr="00A02BDC">
        <w:t xml:space="preserve"> left in shaking at 30 ºC. To follow the progress of the </w:t>
      </w:r>
      <w:r w:rsidRPr="00A02BDC">
        <w:lastRenderedPageBreak/>
        <w:t xml:space="preserve">biotransformation, </w:t>
      </w:r>
      <w:r w:rsidR="005276EA" w:rsidRPr="00A02BDC">
        <w:t xml:space="preserve">100 </w:t>
      </w:r>
      <w:r w:rsidR="005276EA" w:rsidRPr="00A02BDC">
        <w:rPr>
          <w:rFonts w:cs="Times New Roman"/>
          <w:lang w:val="en-AU"/>
        </w:rPr>
        <w:t>µ</w:t>
      </w:r>
      <w:r w:rsidR="005276EA" w:rsidRPr="00A02BDC">
        <w:rPr>
          <w:lang w:val="en-AU"/>
        </w:rPr>
        <w:t>L aliquots were taken</w:t>
      </w:r>
      <w:r w:rsidR="005276EA" w:rsidRPr="00A02BDC">
        <w:t xml:space="preserve"> from </w:t>
      </w:r>
      <w:r w:rsidR="009A55F4" w:rsidRPr="00A02BDC">
        <w:t xml:space="preserve">the </w:t>
      </w:r>
      <w:r w:rsidR="005276EA" w:rsidRPr="00A02BDC">
        <w:t>sample</w:t>
      </w:r>
      <w:r w:rsidRPr="00A02BDC">
        <w:t xml:space="preserve"> after 15 m</w:t>
      </w:r>
      <w:r w:rsidR="002D69F5" w:rsidRPr="00A02BDC">
        <w:t>in</w:t>
      </w:r>
      <w:r w:rsidRPr="00A02BDC">
        <w:t>, 30 m</w:t>
      </w:r>
      <w:r w:rsidR="002D69F5" w:rsidRPr="00A02BDC">
        <w:t>in</w:t>
      </w:r>
      <w:r w:rsidRPr="00A02BDC">
        <w:t>, 1 h, 3 h, 24 h and 48 h</w:t>
      </w:r>
      <w:r w:rsidR="005276EA" w:rsidRPr="00A02BDC">
        <w:t xml:space="preserve"> </w:t>
      </w:r>
      <w:r w:rsidR="005276EA" w:rsidRPr="00A02BDC">
        <w:rPr>
          <w:lang w:val="en-AU"/>
        </w:rPr>
        <w:t>and</w:t>
      </w:r>
      <w:r w:rsidR="009A55F4" w:rsidRPr="00A02BDC">
        <w:rPr>
          <w:lang w:val="en-AU"/>
        </w:rPr>
        <w:t xml:space="preserve"> transferred to HPLC vials. 450 </w:t>
      </w:r>
      <w:r w:rsidR="009A55F4" w:rsidRPr="00A02BDC">
        <w:rPr>
          <w:rFonts w:cs="Times New Roman"/>
          <w:lang w:val="en-AU"/>
        </w:rPr>
        <w:t>µ</w:t>
      </w:r>
      <w:r w:rsidR="009A55F4" w:rsidRPr="00A02BDC">
        <w:rPr>
          <w:lang w:val="en-AU"/>
        </w:rPr>
        <w:t xml:space="preserve">L </w:t>
      </w:r>
      <w:bookmarkStart w:id="4" w:name="_Hlk35251322"/>
      <w:r w:rsidR="005276EA" w:rsidRPr="00A02BDC">
        <w:rPr>
          <w:lang w:val="en-AU"/>
        </w:rPr>
        <w:t xml:space="preserve">of </w:t>
      </w:r>
      <w:r w:rsidR="004D221E" w:rsidRPr="00A02BDC">
        <w:rPr>
          <w:lang w:val="en-AU"/>
        </w:rPr>
        <w:t xml:space="preserve">ACN </w:t>
      </w:r>
      <w:r w:rsidR="00612EA3" w:rsidRPr="00A02BDC">
        <w:rPr>
          <w:lang w:val="en-AU"/>
        </w:rPr>
        <w:t xml:space="preserve">and 450 µL of distilled water </w:t>
      </w:r>
      <w:r w:rsidR="009A55F4" w:rsidRPr="00A02BDC">
        <w:rPr>
          <w:lang w:val="en-AU"/>
        </w:rPr>
        <w:t>were added to stop the enzymatic reaction</w:t>
      </w:r>
      <w:bookmarkEnd w:id="4"/>
      <w:r w:rsidR="004D221E" w:rsidRPr="00A02BDC">
        <w:rPr>
          <w:lang w:val="en-AU"/>
        </w:rPr>
        <w:t>. The samples were then</w:t>
      </w:r>
      <w:r w:rsidR="005276EA" w:rsidRPr="00A02BDC">
        <w:rPr>
          <w:lang w:val="en-AU"/>
        </w:rPr>
        <w:t xml:space="preserve"> filtered </w:t>
      </w:r>
      <w:r w:rsidR="00BE7044" w:rsidRPr="00A02BDC">
        <w:rPr>
          <w:lang w:val="en-AU"/>
        </w:rPr>
        <w:t>(</w:t>
      </w:r>
      <w:r w:rsidR="005276EA" w:rsidRPr="00A02BDC">
        <w:rPr>
          <w:lang w:val="en-AU"/>
        </w:rPr>
        <w:t xml:space="preserve">0.45 </w:t>
      </w:r>
      <w:r w:rsidR="005276EA" w:rsidRPr="00A02BDC">
        <w:rPr>
          <w:rFonts w:cs="Times New Roman"/>
          <w:lang w:val="en-AU"/>
        </w:rPr>
        <w:t>µ</w:t>
      </w:r>
      <w:r w:rsidR="005276EA" w:rsidRPr="00A02BDC">
        <w:rPr>
          <w:lang w:val="en-AU"/>
        </w:rPr>
        <w:t>m</w:t>
      </w:r>
      <w:r w:rsidR="00BE7044" w:rsidRPr="00A02BDC">
        <w:rPr>
          <w:lang w:val="en-AU"/>
        </w:rPr>
        <w:t>)</w:t>
      </w:r>
      <w:r w:rsidR="005276EA" w:rsidRPr="00A02BDC">
        <w:rPr>
          <w:lang w:val="en-AU"/>
        </w:rPr>
        <w:t xml:space="preserve"> and</w:t>
      </w:r>
      <w:r w:rsidR="004D221E" w:rsidRPr="00A02BDC">
        <w:rPr>
          <w:lang w:val="en-AU"/>
        </w:rPr>
        <w:t xml:space="preserve"> analysed by HPLC</w:t>
      </w:r>
      <w:r w:rsidR="004923C2" w:rsidRPr="00A02BDC">
        <w:rPr>
          <w:lang w:val="en-AU"/>
        </w:rPr>
        <w:t>.</w:t>
      </w:r>
      <w:bookmarkStart w:id="5" w:name="x__Toc32779818"/>
    </w:p>
    <w:p w14:paraId="54C3120E" w14:textId="2EFAA102" w:rsidR="00EF553D" w:rsidRPr="00A02BDC" w:rsidRDefault="00EF553D" w:rsidP="00750A9C">
      <w:pPr>
        <w:pStyle w:val="Heading2"/>
        <w:numPr>
          <w:ilvl w:val="0"/>
          <w:numId w:val="0"/>
        </w:numPr>
        <w:ind w:left="576" w:hanging="576"/>
        <w:rPr>
          <w:rFonts w:eastAsiaTheme="minorHAnsi"/>
          <w:lang w:val="en-AU"/>
        </w:rPr>
      </w:pPr>
      <w:r w:rsidRPr="00A02BDC">
        <w:rPr>
          <w:rFonts w:eastAsiaTheme="minorHAnsi"/>
        </w:rPr>
        <w:t>Reverse-phase HPLC analysis of conversions</w:t>
      </w:r>
      <w:bookmarkEnd w:id="5"/>
    </w:p>
    <w:p w14:paraId="3209D314" w14:textId="40E5BBE7" w:rsidR="00EF553D" w:rsidRPr="00A02BDC" w:rsidRDefault="00EF553D" w:rsidP="00EF553D">
      <w:pPr>
        <w:pStyle w:val="xmsonormal"/>
        <w:shd w:val="clear" w:color="auto" w:fill="FFFFFF"/>
        <w:spacing w:before="0" w:beforeAutospacing="0" w:after="0" w:afterAutospacing="0" w:line="480" w:lineRule="auto"/>
        <w:jc w:val="both"/>
        <w:rPr>
          <w:rFonts w:eastAsiaTheme="minorHAnsi" w:cstheme="minorBidi"/>
          <w:szCs w:val="22"/>
          <w:lang w:eastAsia="en-US"/>
        </w:rPr>
      </w:pPr>
      <w:r w:rsidRPr="00A02BDC">
        <w:rPr>
          <w:rFonts w:eastAsiaTheme="minorHAnsi" w:cstheme="minorBidi"/>
          <w:szCs w:val="22"/>
          <w:lang w:eastAsia="en-US"/>
        </w:rPr>
        <w:t xml:space="preserve">Samples were analysed using a ThermoFisher Ultimate 3000 Reverse-phase HPLC (diode array detector) on a Waters XBridge C18 column (3.5 µm, 2.1 x 150 mm) with the following method: A: 0.1% TFA in water, B: 0.1% TFA in acetonitrile. Gradient: 0 min 95% A 5% B; 1 min 95% A 5% B; 5 min 5% A 95% B; 5.10 min 0% A 100% B; 6.60 min 0% A 100% B; 7 min 95% A 5% B; 10 min 95% A 5% B. Injection volume 2 µL, at 45 °C with a flow rate of 0.8 mL/min. </w:t>
      </w:r>
      <w:bookmarkStart w:id="6" w:name="_Hlk54442621"/>
      <w:r w:rsidRPr="00A02BDC">
        <w:rPr>
          <w:rFonts w:eastAsiaTheme="minorHAnsi" w:cstheme="minorBidi"/>
          <w:szCs w:val="22"/>
          <w:lang w:eastAsia="en-US"/>
        </w:rPr>
        <w:t xml:space="preserve">Retention times in minutes: daidzin (3.17), glycitin (3.22), genistin (3.40), </w:t>
      </w:r>
      <w:r w:rsidR="008C3736" w:rsidRPr="00A02BDC">
        <w:rPr>
          <w:rFonts w:eastAsiaTheme="minorHAnsi" w:cstheme="minorBidi"/>
          <w:szCs w:val="22"/>
          <w:lang w:eastAsia="en-US"/>
        </w:rPr>
        <w:t>malonyl</w:t>
      </w:r>
      <w:r w:rsidR="00056927" w:rsidRPr="00A02BDC">
        <w:rPr>
          <w:rFonts w:eastAsiaTheme="minorHAnsi" w:cstheme="minorBidi"/>
          <w:szCs w:val="22"/>
          <w:lang w:eastAsia="en-US"/>
        </w:rPr>
        <w:t>-</w:t>
      </w:r>
      <w:r w:rsidR="008C3736" w:rsidRPr="00A02BDC">
        <w:rPr>
          <w:rFonts w:eastAsiaTheme="minorHAnsi" w:cstheme="minorBidi"/>
          <w:szCs w:val="22"/>
          <w:lang w:eastAsia="en-US"/>
        </w:rPr>
        <w:t>daidzin (3.44), malonyl</w:t>
      </w:r>
      <w:r w:rsidR="00056927" w:rsidRPr="00A02BDC">
        <w:rPr>
          <w:rFonts w:eastAsiaTheme="minorHAnsi" w:cstheme="minorBidi"/>
          <w:szCs w:val="22"/>
          <w:lang w:eastAsia="en-US"/>
        </w:rPr>
        <w:t>-</w:t>
      </w:r>
      <w:r w:rsidR="008C3736" w:rsidRPr="00A02BDC">
        <w:rPr>
          <w:rFonts w:eastAsiaTheme="minorHAnsi" w:cstheme="minorBidi"/>
          <w:szCs w:val="22"/>
          <w:lang w:eastAsia="en-US"/>
        </w:rPr>
        <w:t xml:space="preserve">genistin (3.62), </w:t>
      </w:r>
      <w:r w:rsidRPr="00A02BDC">
        <w:rPr>
          <w:rFonts w:eastAsiaTheme="minorHAnsi" w:cstheme="minorBidi"/>
          <w:szCs w:val="22"/>
          <w:lang w:eastAsia="en-US"/>
        </w:rPr>
        <w:t>daidzein (3.76), glycitein (3.82), genistein (4.04).</w:t>
      </w:r>
    </w:p>
    <w:p w14:paraId="18E1BE6C" w14:textId="26684D67" w:rsidR="00EF553D" w:rsidRPr="00A02BDC" w:rsidRDefault="00EF553D" w:rsidP="00EF553D">
      <w:pPr>
        <w:pStyle w:val="xmsonormal"/>
        <w:shd w:val="clear" w:color="auto" w:fill="FFFFFF"/>
        <w:spacing w:before="0" w:beforeAutospacing="0" w:after="0" w:afterAutospacing="0" w:line="480" w:lineRule="auto"/>
        <w:jc w:val="both"/>
      </w:pPr>
      <w:r w:rsidRPr="00A02BDC">
        <w:rPr>
          <w:rFonts w:eastAsiaTheme="minorHAnsi" w:cstheme="minorBidi"/>
          <w:szCs w:val="22"/>
          <w:lang w:eastAsia="en-US"/>
        </w:rPr>
        <w:t xml:space="preserve">Conversions were calculated from a calibration curve of authentic standards. </w:t>
      </w:r>
      <w:r w:rsidRPr="00A02BDC">
        <w:t xml:space="preserve">Peak areas were manually </w:t>
      </w:r>
      <w:r w:rsidR="00E67B46" w:rsidRPr="00A02BDC">
        <w:t>integrated,</w:t>
      </w:r>
      <w:r w:rsidR="00CD6C4E" w:rsidRPr="00A02BDC">
        <w:t xml:space="preserve"> </w:t>
      </w:r>
      <w:r w:rsidRPr="00A02BDC">
        <w:t>and the correlation coefficients were obtained using the Microsoft Excel® linear regression model application.</w:t>
      </w:r>
    </w:p>
    <w:bookmarkEnd w:id="6"/>
    <w:p w14:paraId="6149F5D8" w14:textId="66B395CD" w:rsidR="00D800BA" w:rsidRPr="00A02BDC" w:rsidRDefault="00D800BA" w:rsidP="00750A9C">
      <w:pPr>
        <w:pStyle w:val="Heading1"/>
        <w:numPr>
          <w:ilvl w:val="0"/>
          <w:numId w:val="0"/>
        </w:numPr>
        <w:ind w:left="432" w:hanging="432"/>
      </w:pPr>
      <w:r w:rsidRPr="00A02BDC">
        <w:rPr>
          <w:rStyle w:val="Heading2Char"/>
          <w:bCs/>
          <w:i w:val="0"/>
          <w:szCs w:val="28"/>
        </w:rPr>
        <w:t>Funding</w:t>
      </w:r>
    </w:p>
    <w:p w14:paraId="1E4CE223" w14:textId="5286D4E0" w:rsidR="00DF7DCE" w:rsidRPr="00A02BDC" w:rsidRDefault="00420BAA" w:rsidP="00DF7DCE">
      <w:pPr>
        <w:jc w:val="both"/>
      </w:pPr>
      <w:r w:rsidRPr="00A02BDC">
        <w:t>LD</w:t>
      </w:r>
      <w:r w:rsidR="003F207B" w:rsidRPr="00A02BDC">
        <w:t xml:space="preserve"> was supported by the UK Engineering and Physical Sciences Research Council [grant number EP/L015633/1]</w:t>
      </w:r>
      <w:r w:rsidR="00DF7DCE" w:rsidRPr="00A02BDC">
        <w:t>.</w:t>
      </w:r>
      <w:r w:rsidR="009E595C" w:rsidRPr="00A02BDC">
        <w:rPr>
          <w:lang w:val="en-US"/>
        </w:rPr>
        <w:t xml:space="preserve"> </w:t>
      </w:r>
      <w:r w:rsidRPr="00A02BDC">
        <w:t xml:space="preserve">CH was </w:t>
      </w:r>
      <w:r w:rsidRPr="00A02BDC">
        <w:rPr>
          <w:szCs w:val="24"/>
          <w:shd w:val="clear" w:color="auto" w:fill="FFFFFF"/>
        </w:rPr>
        <w:t>supported by the Biotechnology and Biological Sciences Research Council through the iCASE scheme in collaboration with Johnson Matthey [grant number BB/M008770/1]</w:t>
      </w:r>
      <w:r w:rsidR="00294F5D" w:rsidRPr="00A02BDC">
        <w:rPr>
          <w:szCs w:val="24"/>
          <w:shd w:val="clear" w:color="auto" w:fill="FFFFFF"/>
        </w:rPr>
        <w:t xml:space="preserve">. </w:t>
      </w:r>
      <w:r w:rsidR="009E595C" w:rsidRPr="00A02BDC">
        <w:rPr>
          <w:lang w:val="en-US"/>
        </w:rPr>
        <w:t>LJG was gratefully funded by Università degli Studi di Milano ‘Linea 2’ funding.</w:t>
      </w:r>
    </w:p>
    <w:p w14:paraId="0D4CD0B7" w14:textId="26DB03A2" w:rsidR="00D800BA" w:rsidRPr="00A02BDC" w:rsidRDefault="00D800BA" w:rsidP="00750A9C">
      <w:pPr>
        <w:pStyle w:val="Heading1"/>
        <w:numPr>
          <w:ilvl w:val="0"/>
          <w:numId w:val="0"/>
        </w:numPr>
        <w:ind w:left="432" w:hanging="432"/>
      </w:pPr>
      <w:r w:rsidRPr="00A02BDC">
        <w:t>Conflict of interest</w:t>
      </w:r>
    </w:p>
    <w:p w14:paraId="2558C18B" w14:textId="77777777" w:rsidR="006E41AD" w:rsidRPr="00A02BDC" w:rsidRDefault="00D800BA" w:rsidP="006E41AD">
      <w:pPr>
        <w:jc w:val="both"/>
      </w:pPr>
      <w:r w:rsidRPr="00A02BDC">
        <w:t>The authors declare no conflict</w:t>
      </w:r>
      <w:r w:rsidR="004C1612" w:rsidRPr="00A02BDC">
        <w:t xml:space="preserve"> of interest in publishing this </w:t>
      </w:r>
      <w:r w:rsidRPr="00A02BDC">
        <w:t>work.</w:t>
      </w:r>
    </w:p>
    <w:p w14:paraId="15A0908F" w14:textId="50BD57A1" w:rsidR="00D800BA" w:rsidRPr="00A02BDC" w:rsidRDefault="00D800BA" w:rsidP="00750A9C">
      <w:pPr>
        <w:pStyle w:val="Heading1"/>
        <w:numPr>
          <w:ilvl w:val="0"/>
          <w:numId w:val="0"/>
        </w:numPr>
        <w:ind w:left="432" w:hanging="432"/>
      </w:pPr>
      <w:r w:rsidRPr="00A02BDC">
        <w:lastRenderedPageBreak/>
        <w:t>Acknowledgements</w:t>
      </w:r>
    </w:p>
    <w:p w14:paraId="0AD790FC" w14:textId="784085FC" w:rsidR="006527ED" w:rsidRPr="00A02BDC" w:rsidRDefault="006527ED" w:rsidP="004421A9">
      <w:pPr>
        <w:spacing w:line="360" w:lineRule="auto"/>
        <w:jc w:val="both"/>
        <w:rPr>
          <w:lang w:val="en-US"/>
        </w:rPr>
      </w:pPr>
      <w:r w:rsidRPr="00A02BDC">
        <w:t xml:space="preserve">Authors would like to thank the Centre for Doctoral Training in Sustainable Chemistry of the University of Nottingham for its support and the School of Chemistry for </w:t>
      </w:r>
      <w:r w:rsidR="00ED0A68" w:rsidRPr="00A02BDC">
        <w:t>access to analytical infrastructure</w:t>
      </w:r>
      <w:r w:rsidRPr="00A02BDC">
        <w:t>.</w:t>
      </w:r>
      <w:r w:rsidR="009E595C" w:rsidRPr="00A02BDC">
        <w:rPr>
          <w:lang w:val="en-US"/>
        </w:rPr>
        <w:t xml:space="preserve"> We thank Diamond staff from the I04 beamline and iNEXT (PID: 5912) for financial support.</w:t>
      </w:r>
    </w:p>
    <w:p w14:paraId="6BD0B612" w14:textId="67532A24" w:rsidR="00F74978" w:rsidRPr="00A02BDC" w:rsidRDefault="00F74978" w:rsidP="00750A9C">
      <w:pPr>
        <w:pStyle w:val="Heading1"/>
        <w:numPr>
          <w:ilvl w:val="0"/>
          <w:numId w:val="0"/>
        </w:numPr>
        <w:ind w:left="432" w:hanging="432"/>
      </w:pPr>
      <w:r w:rsidRPr="00A02BDC">
        <w:t>Bibliography</w:t>
      </w:r>
    </w:p>
    <w:p w14:paraId="61204297" w14:textId="11820C7B" w:rsidR="00881F49" w:rsidRPr="00A02BDC" w:rsidRDefault="00DF7DCE" w:rsidP="00881F49">
      <w:pPr>
        <w:widowControl w:val="0"/>
        <w:autoSpaceDE w:val="0"/>
        <w:autoSpaceDN w:val="0"/>
        <w:adjustRightInd w:val="0"/>
        <w:ind w:left="640" w:hanging="640"/>
        <w:rPr>
          <w:rFonts w:cs="Times New Roman"/>
          <w:noProof/>
          <w:szCs w:val="24"/>
        </w:rPr>
      </w:pPr>
      <w:r w:rsidRPr="00A02BDC">
        <w:fldChar w:fldCharType="begin" w:fldLock="1"/>
      </w:r>
      <w:r w:rsidRPr="00A02BDC">
        <w:instrText xml:space="preserve">ADDIN Mendeley Bibliography CSL_BIBLIOGRAPHY </w:instrText>
      </w:r>
      <w:r w:rsidRPr="00A02BDC">
        <w:fldChar w:fldCharType="separate"/>
      </w:r>
      <w:r w:rsidR="00881F49" w:rsidRPr="00A02BDC">
        <w:rPr>
          <w:rFonts w:cs="Times New Roman"/>
          <w:noProof/>
          <w:szCs w:val="24"/>
        </w:rPr>
        <w:t>[1]</w:t>
      </w:r>
      <w:r w:rsidR="00881F49" w:rsidRPr="00A02BDC">
        <w:rPr>
          <w:rFonts w:cs="Times New Roman"/>
          <w:noProof/>
          <w:szCs w:val="24"/>
        </w:rPr>
        <w:tab/>
        <w:t xml:space="preserve">A. Vasella, G. J. Davies, M. Böhm, </w:t>
      </w:r>
      <w:r w:rsidR="00881F49" w:rsidRPr="00A02BDC">
        <w:rPr>
          <w:rFonts w:cs="Times New Roman"/>
          <w:i/>
          <w:iCs/>
          <w:noProof/>
          <w:szCs w:val="24"/>
        </w:rPr>
        <w:t>Curr. Opin. Chem. Biol.</w:t>
      </w:r>
      <w:r w:rsidR="00881F49" w:rsidRPr="00A02BDC">
        <w:rPr>
          <w:rFonts w:cs="Times New Roman"/>
          <w:noProof/>
          <w:szCs w:val="24"/>
        </w:rPr>
        <w:t xml:space="preserve"> </w:t>
      </w:r>
      <w:r w:rsidR="00881F49" w:rsidRPr="00A02BDC">
        <w:rPr>
          <w:rFonts w:cs="Times New Roman"/>
          <w:b/>
          <w:bCs/>
          <w:noProof/>
          <w:szCs w:val="24"/>
        </w:rPr>
        <w:t>2002</w:t>
      </w:r>
      <w:r w:rsidR="00881F49" w:rsidRPr="00A02BDC">
        <w:rPr>
          <w:rFonts w:cs="Times New Roman"/>
          <w:noProof/>
          <w:szCs w:val="24"/>
        </w:rPr>
        <w:t xml:space="preserve">, </w:t>
      </w:r>
      <w:r w:rsidR="00881F49" w:rsidRPr="00A02BDC">
        <w:rPr>
          <w:rFonts w:cs="Times New Roman"/>
          <w:i/>
          <w:iCs/>
          <w:noProof/>
          <w:szCs w:val="24"/>
        </w:rPr>
        <w:t>6</w:t>
      </w:r>
      <w:r w:rsidR="00881F49" w:rsidRPr="00A02BDC">
        <w:rPr>
          <w:rFonts w:cs="Times New Roman"/>
          <w:noProof/>
          <w:szCs w:val="24"/>
        </w:rPr>
        <w:t>, 619–629.</w:t>
      </w:r>
    </w:p>
    <w:p w14:paraId="2DA781BC"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w:t>
      </w:r>
      <w:r w:rsidRPr="00A02BDC">
        <w:rPr>
          <w:rFonts w:cs="Times New Roman"/>
          <w:noProof/>
          <w:szCs w:val="24"/>
        </w:rPr>
        <w:tab/>
        <w:t xml:space="preserve">G. Singh, A. K. Verma, V. Kumar, </w:t>
      </w:r>
      <w:r w:rsidRPr="00A02BDC">
        <w:rPr>
          <w:rFonts w:cs="Times New Roman"/>
          <w:i/>
          <w:iCs/>
          <w:noProof/>
          <w:szCs w:val="24"/>
        </w:rPr>
        <w:t>3 Biotech</w:t>
      </w:r>
      <w:r w:rsidRPr="00A02BDC">
        <w:rPr>
          <w:rFonts w:cs="Times New Roman"/>
          <w:noProof/>
          <w:szCs w:val="24"/>
        </w:rPr>
        <w:t xml:space="preserve"> </w:t>
      </w:r>
      <w:r w:rsidRPr="00A02BDC">
        <w:rPr>
          <w:rFonts w:cs="Times New Roman"/>
          <w:b/>
          <w:bCs/>
          <w:noProof/>
          <w:szCs w:val="24"/>
        </w:rPr>
        <w:t>2016</w:t>
      </w:r>
      <w:r w:rsidRPr="00A02BDC">
        <w:rPr>
          <w:rFonts w:cs="Times New Roman"/>
          <w:noProof/>
          <w:szCs w:val="24"/>
        </w:rPr>
        <w:t xml:space="preserve">, </w:t>
      </w:r>
      <w:r w:rsidRPr="00A02BDC">
        <w:rPr>
          <w:rFonts w:cs="Times New Roman"/>
          <w:i/>
          <w:iCs/>
          <w:noProof/>
          <w:szCs w:val="24"/>
        </w:rPr>
        <w:t>6</w:t>
      </w:r>
      <w:r w:rsidRPr="00A02BDC">
        <w:rPr>
          <w:rFonts w:cs="Times New Roman"/>
          <w:noProof/>
          <w:szCs w:val="24"/>
        </w:rPr>
        <w:t>, 1–14.</w:t>
      </w:r>
    </w:p>
    <w:p w14:paraId="0E28E2D7"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w:t>
      </w:r>
      <w:r w:rsidRPr="00A02BDC">
        <w:rPr>
          <w:rFonts w:cs="Times New Roman"/>
          <w:noProof/>
          <w:szCs w:val="24"/>
        </w:rPr>
        <w:tab/>
        <w:t xml:space="preserve">Y. Yang, X. Zhang, Q. Yin, W. Fang, Z. Fang, X. Wang, X. Zhang, Y. Xiao, </w:t>
      </w:r>
      <w:r w:rsidRPr="00A02BDC">
        <w:rPr>
          <w:rFonts w:cs="Times New Roman"/>
          <w:i/>
          <w:iCs/>
          <w:noProof/>
          <w:szCs w:val="24"/>
        </w:rPr>
        <w:t>Sci. Reports</w:t>
      </w:r>
      <w:r w:rsidRPr="00A02BDC">
        <w:rPr>
          <w:rFonts w:cs="Times New Roman"/>
          <w:noProof/>
          <w:szCs w:val="24"/>
        </w:rPr>
        <w:t xml:space="preserve"> </w:t>
      </w:r>
      <w:r w:rsidRPr="00A02BDC">
        <w:rPr>
          <w:rFonts w:cs="Times New Roman"/>
          <w:b/>
          <w:bCs/>
          <w:noProof/>
          <w:szCs w:val="24"/>
        </w:rPr>
        <w:t>2015</w:t>
      </w:r>
      <w:r w:rsidRPr="00A02BDC">
        <w:rPr>
          <w:rFonts w:cs="Times New Roman"/>
          <w:noProof/>
          <w:szCs w:val="24"/>
        </w:rPr>
        <w:t xml:space="preserve">, </w:t>
      </w:r>
      <w:r w:rsidRPr="00A02BDC">
        <w:rPr>
          <w:rFonts w:cs="Times New Roman"/>
          <w:i/>
          <w:iCs/>
          <w:noProof/>
          <w:szCs w:val="24"/>
        </w:rPr>
        <w:t>5</w:t>
      </w:r>
      <w:r w:rsidRPr="00A02BDC">
        <w:rPr>
          <w:rFonts w:cs="Times New Roman"/>
          <w:noProof/>
          <w:szCs w:val="24"/>
        </w:rPr>
        <w:t>, 17296.</w:t>
      </w:r>
    </w:p>
    <w:p w14:paraId="519307E7"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w:t>
      </w:r>
      <w:r w:rsidRPr="00A02BDC">
        <w:rPr>
          <w:rFonts w:cs="Times New Roman"/>
          <w:noProof/>
          <w:szCs w:val="24"/>
        </w:rPr>
        <w:tab/>
        <w:t xml:space="preserve">A. Sørensen, M. Lübeck, P. S. Lübeck, B. K. Ahring, </w:t>
      </w:r>
      <w:r w:rsidRPr="00A02BDC">
        <w:rPr>
          <w:rFonts w:cs="Times New Roman"/>
          <w:i/>
          <w:iCs/>
          <w:noProof/>
          <w:szCs w:val="24"/>
        </w:rPr>
        <w:t>Biomolecules</w:t>
      </w:r>
      <w:r w:rsidRPr="00A02BDC">
        <w:rPr>
          <w:rFonts w:cs="Times New Roman"/>
          <w:noProof/>
          <w:szCs w:val="24"/>
        </w:rPr>
        <w:t xml:space="preserve"> </w:t>
      </w:r>
      <w:r w:rsidRPr="00A02BDC">
        <w:rPr>
          <w:rFonts w:cs="Times New Roman"/>
          <w:b/>
          <w:bCs/>
          <w:noProof/>
          <w:szCs w:val="24"/>
        </w:rPr>
        <w:t>2013</w:t>
      </w:r>
      <w:r w:rsidRPr="00A02BDC">
        <w:rPr>
          <w:rFonts w:cs="Times New Roman"/>
          <w:noProof/>
          <w:szCs w:val="24"/>
        </w:rPr>
        <w:t xml:space="preserve">, </w:t>
      </w:r>
      <w:r w:rsidRPr="00A02BDC">
        <w:rPr>
          <w:rFonts w:cs="Times New Roman"/>
          <w:i/>
          <w:iCs/>
          <w:noProof/>
          <w:szCs w:val="24"/>
        </w:rPr>
        <w:t>3</w:t>
      </w:r>
      <w:r w:rsidRPr="00A02BDC">
        <w:rPr>
          <w:rFonts w:cs="Times New Roman"/>
          <w:noProof/>
          <w:szCs w:val="24"/>
        </w:rPr>
        <w:t>, 612–631.</w:t>
      </w:r>
    </w:p>
    <w:p w14:paraId="10A312CB"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[5]</w:t>
      </w:r>
      <w:r w:rsidRPr="00A02BDC">
        <w:rPr>
          <w:rFonts w:cs="Times New Roman"/>
          <w:noProof/>
          <w:szCs w:val="24"/>
        </w:rPr>
        <w:tab/>
        <w:t xml:space="preserve">P. H. Rampelotto, </w:t>
      </w:r>
      <w:r w:rsidRPr="00A02BDC">
        <w:rPr>
          <w:rFonts w:cs="Times New Roman"/>
          <w:i/>
          <w:iCs/>
          <w:noProof/>
          <w:szCs w:val="24"/>
        </w:rPr>
        <w:t>Life (Basel, Switzerland)</w:t>
      </w:r>
      <w:r w:rsidRPr="00A02BDC">
        <w:rPr>
          <w:rFonts w:cs="Times New Roman"/>
          <w:noProof/>
          <w:szCs w:val="24"/>
        </w:rPr>
        <w:t xml:space="preserve"> </w:t>
      </w:r>
      <w:r w:rsidRPr="00A02BDC">
        <w:rPr>
          <w:rFonts w:cs="Times New Roman"/>
          <w:b/>
          <w:bCs/>
          <w:noProof/>
          <w:szCs w:val="24"/>
        </w:rPr>
        <w:t>2013</w:t>
      </w:r>
      <w:r w:rsidRPr="00A02BDC">
        <w:rPr>
          <w:rFonts w:cs="Times New Roman"/>
          <w:noProof/>
          <w:szCs w:val="24"/>
        </w:rPr>
        <w:t xml:space="preserve">, </w:t>
      </w:r>
      <w:r w:rsidRPr="00A02BDC">
        <w:rPr>
          <w:rFonts w:cs="Times New Roman"/>
          <w:i/>
          <w:iCs/>
          <w:noProof/>
          <w:szCs w:val="24"/>
        </w:rPr>
        <w:t>3</w:t>
      </w:r>
      <w:r w:rsidRPr="00A02BDC">
        <w:rPr>
          <w:rFonts w:cs="Times New Roman"/>
          <w:noProof/>
          <w:szCs w:val="24"/>
        </w:rPr>
        <w:t>, 482–5.</w:t>
      </w:r>
    </w:p>
    <w:p w14:paraId="5B14C279"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[6]</w:t>
      </w:r>
      <w:r w:rsidRPr="00A02BDC">
        <w:rPr>
          <w:rFonts w:cs="Times New Roman"/>
          <w:noProof/>
          <w:szCs w:val="24"/>
        </w:rPr>
        <w:tab/>
        <w:t xml:space="preserve">S. Elleuche, C. Schröder, K. Sahm, G. Antranikian, </w:t>
      </w:r>
      <w:r w:rsidRPr="00A02BDC">
        <w:rPr>
          <w:rFonts w:cs="Times New Roman"/>
          <w:i/>
          <w:iCs/>
          <w:noProof/>
          <w:szCs w:val="24"/>
        </w:rPr>
        <w:t>Curr. Opin. Biotechnol.</w:t>
      </w:r>
      <w:r w:rsidRPr="00A02BDC">
        <w:rPr>
          <w:rFonts w:cs="Times New Roman"/>
          <w:noProof/>
          <w:szCs w:val="24"/>
        </w:rPr>
        <w:t xml:space="preserve"> </w:t>
      </w:r>
      <w:r w:rsidRPr="00A02BDC">
        <w:rPr>
          <w:rFonts w:cs="Times New Roman"/>
          <w:b/>
          <w:bCs/>
          <w:noProof/>
          <w:szCs w:val="24"/>
        </w:rPr>
        <w:t>2014</w:t>
      </w:r>
      <w:r w:rsidRPr="00A02BDC">
        <w:rPr>
          <w:rFonts w:cs="Times New Roman"/>
          <w:noProof/>
          <w:szCs w:val="24"/>
        </w:rPr>
        <w:t xml:space="preserve">, </w:t>
      </w:r>
      <w:r w:rsidRPr="00A02BDC">
        <w:rPr>
          <w:rFonts w:cs="Times New Roman"/>
          <w:i/>
          <w:iCs/>
          <w:noProof/>
          <w:szCs w:val="24"/>
        </w:rPr>
        <w:t>29</w:t>
      </w:r>
      <w:r w:rsidRPr="00A02BDC">
        <w:rPr>
          <w:rFonts w:cs="Times New Roman"/>
          <w:noProof/>
          <w:szCs w:val="24"/>
        </w:rPr>
        <w:t>, 116–123.</w:t>
      </w:r>
    </w:p>
    <w:p w14:paraId="467575CC"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[7]</w:t>
      </w:r>
      <w:r w:rsidRPr="00A02BDC">
        <w:rPr>
          <w:rFonts w:cs="Times New Roman"/>
          <w:noProof/>
          <w:szCs w:val="24"/>
        </w:rPr>
        <w:tab/>
        <w:t xml:space="preserve">M. C. Pagano, M. Miransari, </w:t>
      </w:r>
      <w:r w:rsidRPr="00A02BDC">
        <w:rPr>
          <w:rFonts w:cs="Times New Roman"/>
          <w:i/>
          <w:iCs/>
          <w:noProof/>
          <w:szCs w:val="24"/>
        </w:rPr>
        <w:t>Production Worldwide</w:t>
      </w:r>
      <w:r w:rsidRPr="00A02BDC">
        <w:rPr>
          <w:rFonts w:cs="Times New Roman"/>
          <w:noProof/>
          <w:szCs w:val="24"/>
        </w:rPr>
        <w:t xml:space="preserve">, Elsevier Inc., </w:t>
      </w:r>
      <w:r w:rsidRPr="00A02BDC">
        <w:rPr>
          <w:rFonts w:cs="Times New Roman"/>
          <w:b/>
          <w:bCs/>
          <w:noProof/>
          <w:szCs w:val="24"/>
        </w:rPr>
        <w:t>2016</w:t>
      </w:r>
      <w:r w:rsidRPr="00A02BDC">
        <w:rPr>
          <w:rFonts w:cs="Times New Roman"/>
          <w:noProof/>
          <w:szCs w:val="24"/>
        </w:rPr>
        <w:t>.</w:t>
      </w:r>
    </w:p>
    <w:p w14:paraId="2334E4C9"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[8]</w:t>
      </w:r>
      <w:r w:rsidRPr="00A02BDC">
        <w:rPr>
          <w:rFonts w:cs="Times New Roman"/>
          <w:noProof/>
          <w:szCs w:val="24"/>
        </w:rPr>
        <w:tab/>
        <w:t xml:space="preserve">S. Kudou, Y. Fleury, D. Welti, D. Magnolato, T. Uchida, K. Kitamura, K. Okubo, </w:t>
      </w:r>
      <w:r w:rsidRPr="00A02BDC">
        <w:rPr>
          <w:rFonts w:cs="Times New Roman"/>
          <w:i/>
          <w:iCs/>
          <w:noProof/>
          <w:szCs w:val="24"/>
        </w:rPr>
        <w:t>Agric. Biol. Chem.</w:t>
      </w:r>
      <w:r w:rsidRPr="00A02BDC">
        <w:rPr>
          <w:rFonts w:cs="Times New Roman"/>
          <w:noProof/>
          <w:szCs w:val="24"/>
        </w:rPr>
        <w:t xml:space="preserve"> </w:t>
      </w:r>
      <w:r w:rsidRPr="00A02BDC">
        <w:rPr>
          <w:rFonts w:cs="Times New Roman"/>
          <w:b/>
          <w:bCs/>
          <w:noProof/>
          <w:szCs w:val="24"/>
        </w:rPr>
        <w:t>1991</w:t>
      </w:r>
      <w:r w:rsidRPr="00A02BDC">
        <w:rPr>
          <w:rFonts w:cs="Times New Roman"/>
          <w:noProof/>
          <w:szCs w:val="24"/>
        </w:rPr>
        <w:t xml:space="preserve">, </w:t>
      </w:r>
      <w:r w:rsidRPr="00A02BDC">
        <w:rPr>
          <w:rFonts w:cs="Times New Roman"/>
          <w:i/>
          <w:iCs/>
          <w:noProof/>
          <w:szCs w:val="24"/>
        </w:rPr>
        <w:t>55</w:t>
      </w:r>
      <w:r w:rsidRPr="00A02BDC">
        <w:rPr>
          <w:rFonts w:cs="Times New Roman"/>
          <w:noProof/>
          <w:szCs w:val="24"/>
        </w:rPr>
        <w:t>, 2227–2233.</w:t>
      </w:r>
    </w:p>
    <w:p w14:paraId="3F39A60C"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[9]</w:t>
      </w:r>
      <w:r w:rsidRPr="00A02BDC">
        <w:rPr>
          <w:rFonts w:cs="Times New Roman"/>
          <w:noProof/>
          <w:szCs w:val="24"/>
        </w:rPr>
        <w:tab/>
        <w:t xml:space="preserve">C. Cui, R. L. Birru, B. E. Snitz, M. Ihara, C. Kakuta, B. J. Lopresti, H. J. Aizenstein, O. L. Lopez, C. A. Mathis, Y. Miyamoto, L. H. Kuller, A. Sekikawa, </w:t>
      </w:r>
      <w:r w:rsidRPr="00A02BDC">
        <w:rPr>
          <w:rFonts w:cs="Times New Roman"/>
          <w:i/>
          <w:iCs/>
          <w:noProof/>
          <w:szCs w:val="24"/>
        </w:rPr>
        <w:t>Nutr. Rev.</w:t>
      </w:r>
      <w:r w:rsidRPr="00A02BDC">
        <w:rPr>
          <w:rFonts w:cs="Times New Roman"/>
          <w:noProof/>
          <w:szCs w:val="24"/>
        </w:rPr>
        <w:t xml:space="preserve"> </w:t>
      </w:r>
      <w:r w:rsidRPr="00A02BDC">
        <w:rPr>
          <w:rFonts w:cs="Times New Roman"/>
          <w:b/>
          <w:bCs/>
          <w:noProof/>
          <w:szCs w:val="24"/>
        </w:rPr>
        <w:t>2020</w:t>
      </w:r>
      <w:r w:rsidRPr="00A02BDC">
        <w:rPr>
          <w:rFonts w:cs="Times New Roman"/>
          <w:noProof/>
          <w:szCs w:val="24"/>
        </w:rPr>
        <w:t xml:space="preserve">, </w:t>
      </w:r>
      <w:r w:rsidRPr="00A02BDC">
        <w:rPr>
          <w:rFonts w:cs="Times New Roman"/>
          <w:i/>
          <w:iCs/>
          <w:noProof/>
          <w:szCs w:val="24"/>
        </w:rPr>
        <w:t>78</w:t>
      </w:r>
      <w:r w:rsidRPr="00A02BDC">
        <w:rPr>
          <w:rFonts w:cs="Times New Roman"/>
          <w:noProof/>
          <w:szCs w:val="24"/>
        </w:rPr>
        <w:t>, 134–144.</w:t>
      </w:r>
    </w:p>
    <w:p w14:paraId="21A3E896"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[10]</w:t>
      </w:r>
      <w:r w:rsidRPr="00A02BDC">
        <w:rPr>
          <w:rFonts w:cs="Times New Roman"/>
          <w:noProof/>
          <w:szCs w:val="24"/>
        </w:rPr>
        <w:tab/>
        <w:t xml:space="preserve">D. C. Vitale, C. Piazza, B. Melilli, F. Drago, S. Salomone, </w:t>
      </w:r>
      <w:r w:rsidRPr="00A02BDC">
        <w:rPr>
          <w:rFonts w:cs="Times New Roman"/>
          <w:i/>
          <w:iCs/>
          <w:noProof/>
          <w:szCs w:val="24"/>
        </w:rPr>
        <w:t>Eur. J. drug Metab. Pharmacokinet.</w:t>
      </w:r>
      <w:r w:rsidRPr="00A02BDC">
        <w:rPr>
          <w:rFonts w:cs="Times New Roman"/>
          <w:noProof/>
          <w:szCs w:val="24"/>
        </w:rPr>
        <w:t xml:space="preserve"> </w:t>
      </w:r>
      <w:r w:rsidRPr="00A02BDC">
        <w:rPr>
          <w:rFonts w:cs="Times New Roman"/>
          <w:b/>
          <w:bCs/>
          <w:noProof/>
          <w:szCs w:val="24"/>
        </w:rPr>
        <w:t>2013</w:t>
      </w:r>
      <w:r w:rsidRPr="00A02BDC">
        <w:rPr>
          <w:rFonts w:cs="Times New Roman"/>
          <w:noProof/>
          <w:szCs w:val="24"/>
        </w:rPr>
        <w:t xml:space="preserve">, </w:t>
      </w:r>
      <w:r w:rsidRPr="00A02BDC">
        <w:rPr>
          <w:rFonts w:cs="Times New Roman"/>
          <w:i/>
          <w:iCs/>
          <w:noProof/>
          <w:szCs w:val="24"/>
        </w:rPr>
        <w:t>38</w:t>
      </w:r>
      <w:r w:rsidRPr="00A02BDC">
        <w:rPr>
          <w:rFonts w:cs="Times New Roman"/>
          <w:noProof/>
          <w:szCs w:val="24"/>
        </w:rPr>
        <w:t>, 15–25.</w:t>
      </w:r>
    </w:p>
    <w:p w14:paraId="281E8E3F"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lastRenderedPageBreak/>
        <w:t>[11]</w:t>
      </w:r>
      <w:r w:rsidRPr="00A02BDC">
        <w:rPr>
          <w:rFonts w:cs="Times New Roman"/>
          <w:noProof/>
          <w:szCs w:val="24"/>
        </w:rPr>
        <w:tab/>
        <w:t xml:space="preserve">P. A. Murphy, K. Barua, C. C. Hauck, </w:t>
      </w:r>
      <w:r w:rsidRPr="00A02BDC">
        <w:rPr>
          <w:rFonts w:cs="Times New Roman"/>
          <w:i/>
          <w:iCs/>
          <w:noProof/>
          <w:szCs w:val="24"/>
        </w:rPr>
        <w:t>J. Chromatogr. B Anal. Technol. Biomed. Life Sci.</w:t>
      </w:r>
      <w:r w:rsidRPr="00A02BDC">
        <w:rPr>
          <w:rFonts w:cs="Times New Roman"/>
          <w:noProof/>
          <w:szCs w:val="24"/>
        </w:rPr>
        <w:t xml:space="preserve"> </w:t>
      </w:r>
      <w:r w:rsidRPr="00A02BDC">
        <w:rPr>
          <w:rFonts w:cs="Times New Roman"/>
          <w:b/>
          <w:bCs/>
          <w:noProof/>
          <w:szCs w:val="24"/>
        </w:rPr>
        <w:t>2002</w:t>
      </w:r>
      <w:r w:rsidRPr="00A02BDC">
        <w:rPr>
          <w:rFonts w:cs="Times New Roman"/>
          <w:noProof/>
          <w:szCs w:val="24"/>
        </w:rPr>
        <w:t xml:space="preserve">, </w:t>
      </w:r>
      <w:r w:rsidRPr="00A02BDC">
        <w:rPr>
          <w:rFonts w:cs="Times New Roman"/>
          <w:i/>
          <w:iCs/>
          <w:noProof/>
          <w:szCs w:val="24"/>
        </w:rPr>
        <w:t>777</w:t>
      </w:r>
      <w:r w:rsidRPr="00A02BDC">
        <w:rPr>
          <w:rFonts w:cs="Times New Roman"/>
          <w:noProof/>
          <w:szCs w:val="24"/>
        </w:rPr>
        <w:t>, 129–138.</w:t>
      </w:r>
    </w:p>
    <w:p w14:paraId="3743D2DD"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[12]</w:t>
      </w:r>
      <w:r w:rsidRPr="00A02BDC">
        <w:rPr>
          <w:rFonts w:cs="Times New Roman"/>
          <w:noProof/>
          <w:szCs w:val="24"/>
        </w:rPr>
        <w:tab/>
        <w:t xml:space="preserve">P. E. Hessler, P. E. Larsen, A. I. Constantinou, K. H. Schram, J. M. Weber, </w:t>
      </w:r>
      <w:r w:rsidRPr="00A02BDC">
        <w:rPr>
          <w:rFonts w:cs="Times New Roman"/>
          <w:i/>
          <w:iCs/>
          <w:noProof/>
          <w:szCs w:val="24"/>
        </w:rPr>
        <w:t>Appl. Microbiol. Biotechnol.</w:t>
      </w:r>
      <w:r w:rsidRPr="00A02BDC">
        <w:rPr>
          <w:rFonts w:cs="Times New Roman"/>
          <w:noProof/>
          <w:szCs w:val="24"/>
        </w:rPr>
        <w:t xml:space="preserve"> </w:t>
      </w:r>
      <w:r w:rsidRPr="00A02BDC">
        <w:rPr>
          <w:rFonts w:cs="Times New Roman"/>
          <w:b/>
          <w:bCs/>
          <w:noProof/>
          <w:szCs w:val="24"/>
        </w:rPr>
        <w:t>1997</w:t>
      </w:r>
      <w:r w:rsidRPr="00A02BDC">
        <w:rPr>
          <w:rFonts w:cs="Times New Roman"/>
          <w:noProof/>
          <w:szCs w:val="24"/>
        </w:rPr>
        <w:t xml:space="preserve">, </w:t>
      </w:r>
      <w:r w:rsidRPr="00A02BDC">
        <w:rPr>
          <w:rFonts w:cs="Times New Roman"/>
          <w:i/>
          <w:iCs/>
          <w:noProof/>
          <w:szCs w:val="24"/>
        </w:rPr>
        <w:t>47</w:t>
      </w:r>
      <w:r w:rsidRPr="00A02BDC">
        <w:rPr>
          <w:rFonts w:cs="Times New Roman"/>
          <w:noProof/>
          <w:szCs w:val="24"/>
        </w:rPr>
        <w:t>, 398–404.</w:t>
      </w:r>
    </w:p>
    <w:p w14:paraId="3FFD492B"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[13]</w:t>
      </w:r>
      <w:r w:rsidRPr="00A02BDC">
        <w:rPr>
          <w:rFonts w:cs="Times New Roman"/>
          <w:noProof/>
          <w:szCs w:val="24"/>
        </w:rPr>
        <w:tab/>
        <w:t xml:space="preserve">A. R. Reeves, R. Seshadri, I. A. Brikun, W. H. Cernota, M. C. Gonzalez, J. M. Weber, </w:t>
      </w:r>
      <w:r w:rsidRPr="00A02BDC">
        <w:rPr>
          <w:rFonts w:cs="Times New Roman"/>
          <w:i/>
          <w:iCs/>
          <w:noProof/>
          <w:szCs w:val="24"/>
        </w:rPr>
        <w:t>Appl. Environ. Microbiol.</w:t>
      </w:r>
      <w:r w:rsidRPr="00A02BDC">
        <w:rPr>
          <w:rFonts w:cs="Times New Roman"/>
          <w:noProof/>
          <w:szCs w:val="24"/>
        </w:rPr>
        <w:t xml:space="preserve"> </w:t>
      </w:r>
      <w:r w:rsidRPr="00A02BDC">
        <w:rPr>
          <w:rFonts w:cs="Times New Roman"/>
          <w:b/>
          <w:bCs/>
          <w:noProof/>
          <w:szCs w:val="24"/>
        </w:rPr>
        <w:t>2008</w:t>
      </w:r>
      <w:r w:rsidRPr="00A02BDC">
        <w:rPr>
          <w:rFonts w:cs="Times New Roman"/>
          <w:noProof/>
          <w:szCs w:val="24"/>
        </w:rPr>
        <w:t xml:space="preserve">, </w:t>
      </w:r>
      <w:r w:rsidRPr="00A02BDC">
        <w:rPr>
          <w:rFonts w:cs="Times New Roman"/>
          <w:i/>
          <w:iCs/>
          <w:noProof/>
          <w:szCs w:val="24"/>
        </w:rPr>
        <w:t>74</w:t>
      </w:r>
      <w:r w:rsidRPr="00A02BDC">
        <w:rPr>
          <w:rFonts w:cs="Times New Roman"/>
          <w:noProof/>
          <w:szCs w:val="24"/>
        </w:rPr>
        <w:t>, 7383–7390.</w:t>
      </w:r>
    </w:p>
    <w:p w14:paraId="72ECCB23"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[14]</w:t>
      </w:r>
      <w:r w:rsidRPr="00A02BDC">
        <w:rPr>
          <w:rFonts w:cs="Times New Roman"/>
          <w:noProof/>
          <w:szCs w:val="24"/>
        </w:rPr>
        <w:tab/>
        <w:t xml:space="preserve">J. M. Weber, A. R. Reeves, R. Seshadri, W. H. Cernota, M. C. Gonzalez, D. L. Gray, R. K. Wesley, </w:t>
      </w:r>
      <w:r w:rsidRPr="00A02BDC">
        <w:rPr>
          <w:rFonts w:cs="Times New Roman"/>
          <w:i/>
          <w:iCs/>
          <w:noProof/>
          <w:szCs w:val="24"/>
        </w:rPr>
        <w:t>Appl. Microbiol. Biotechnol.</w:t>
      </w:r>
      <w:r w:rsidRPr="00A02BDC">
        <w:rPr>
          <w:rFonts w:cs="Times New Roman"/>
          <w:noProof/>
          <w:szCs w:val="24"/>
        </w:rPr>
        <w:t xml:space="preserve"> </w:t>
      </w:r>
      <w:r w:rsidRPr="00A02BDC">
        <w:rPr>
          <w:rFonts w:cs="Times New Roman"/>
          <w:b/>
          <w:bCs/>
          <w:noProof/>
          <w:szCs w:val="24"/>
        </w:rPr>
        <w:t>2013</w:t>
      </w:r>
      <w:r w:rsidRPr="00A02BDC">
        <w:rPr>
          <w:rFonts w:cs="Times New Roman"/>
          <w:noProof/>
          <w:szCs w:val="24"/>
        </w:rPr>
        <w:t xml:space="preserve">, </w:t>
      </w:r>
      <w:r w:rsidRPr="00A02BDC">
        <w:rPr>
          <w:rFonts w:cs="Times New Roman"/>
          <w:i/>
          <w:iCs/>
          <w:noProof/>
          <w:szCs w:val="24"/>
        </w:rPr>
        <w:t>97</w:t>
      </w:r>
      <w:r w:rsidRPr="00A02BDC">
        <w:rPr>
          <w:rFonts w:cs="Times New Roman"/>
          <w:noProof/>
          <w:szCs w:val="24"/>
        </w:rPr>
        <w:t>, 6427–6437.</w:t>
      </w:r>
    </w:p>
    <w:p w14:paraId="0139F9BA"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[15]</w:t>
      </w:r>
      <w:r w:rsidRPr="00A02BDC">
        <w:rPr>
          <w:rFonts w:cs="Times New Roman"/>
          <w:noProof/>
          <w:szCs w:val="24"/>
        </w:rPr>
        <w:tab/>
        <w:t xml:space="preserve">D. Prat, J. Hayler, A. Wells, </w:t>
      </w:r>
      <w:r w:rsidRPr="00A02BDC">
        <w:rPr>
          <w:rFonts w:cs="Times New Roman"/>
          <w:i/>
          <w:iCs/>
          <w:noProof/>
          <w:szCs w:val="24"/>
        </w:rPr>
        <w:t>Green Chem.</w:t>
      </w:r>
      <w:r w:rsidRPr="00A02BDC">
        <w:rPr>
          <w:rFonts w:cs="Times New Roman"/>
          <w:noProof/>
          <w:szCs w:val="24"/>
        </w:rPr>
        <w:t xml:space="preserve"> </w:t>
      </w:r>
      <w:r w:rsidRPr="00A02BDC">
        <w:rPr>
          <w:rFonts w:cs="Times New Roman"/>
          <w:b/>
          <w:bCs/>
          <w:noProof/>
          <w:szCs w:val="24"/>
        </w:rPr>
        <w:t>2014</w:t>
      </w:r>
      <w:r w:rsidRPr="00A02BDC">
        <w:rPr>
          <w:rFonts w:cs="Times New Roman"/>
          <w:noProof/>
          <w:szCs w:val="24"/>
        </w:rPr>
        <w:t xml:space="preserve">, </w:t>
      </w:r>
      <w:r w:rsidRPr="00A02BDC">
        <w:rPr>
          <w:rFonts w:cs="Times New Roman"/>
          <w:i/>
          <w:iCs/>
          <w:noProof/>
          <w:szCs w:val="24"/>
        </w:rPr>
        <w:t>16</w:t>
      </w:r>
      <w:r w:rsidRPr="00A02BDC">
        <w:rPr>
          <w:rFonts w:cs="Times New Roman"/>
          <w:noProof/>
          <w:szCs w:val="24"/>
        </w:rPr>
        <w:t>, 4546–4551.</w:t>
      </w:r>
    </w:p>
    <w:p w14:paraId="282DF95D"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[16]</w:t>
      </w:r>
      <w:r w:rsidRPr="00A02BDC">
        <w:rPr>
          <w:rFonts w:cs="Times New Roman"/>
          <w:noProof/>
          <w:szCs w:val="24"/>
        </w:rPr>
        <w:tab/>
        <w:t xml:space="preserve">Y. Xue, X. Song, J. Yu, </w:t>
      </w:r>
      <w:r w:rsidRPr="00A02BDC">
        <w:rPr>
          <w:rFonts w:cs="Times New Roman"/>
          <w:i/>
          <w:iCs/>
          <w:noProof/>
          <w:szCs w:val="24"/>
        </w:rPr>
        <w:t>World J. Microbiol. Biotechnol.</w:t>
      </w:r>
      <w:r w:rsidRPr="00A02BDC">
        <w:rPr>
          <w:rFonts w:cs="Times New Roman"/>
          <w:noProof/>
          <w:szCs w:val="24"/>
        </w:rPr>
        <w:t xml:space="preserve"> </w:t>
      </w:r>
      <w:r w:rsidRPr="00A02BDC">
        <w:rPr>
          <w:rFonts w:cs="Times New Roman"/>
          <w:b/>
          <w:bCs/>
          <w:noProof/>
          <w:szCs w:val="24"/>
        </w:rPr>
        <w:t>2009</w:t>
      </w:r>
      <w:r w:rsidRPr="00A02BDC">
        <w:rPr>
          <w:rFonts w:cs="Times New Roman"/>
          <w:noProof/>
          <w:szCs w:val="24"/>
        </w:rPr>
        <w:t xml:space="preserve">, </w:t>
      </w:r>
      <w:r w:rsidRPr="00A02BDC">
        <w:rPr>
          <w:rFonts w:cs="Times New Roman"/>
          <w:i/>
          <w:iCs/>
          <w:noProof/>
          <w:szCs w:val="24"/>
        </w:rPr>
        <w:t>25</w:t>
      </w:r>
      <w:r w:rsidRPr="00A02BDC">
        <w:rPr>
          <w:rFonts w:cs="Times New Roman"/>
          <w:noProof/>
          <w:szCs w:val="24"/>
        </w:rPr>
        <w:t>, 2165–2172.</w:t>
      </w:r>
    </w:p>
    <w:p w14:paraId="06C41F62"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[17]</w:t>
      </w:r>
      <w:r w:rsidRPr="00A02BDC">
        <w:rPr>
          <w:rFonts w:cs="Times New Roman"/>
          <w:noProof/>
          <w:szCs w:val="24"/>
        </w:rPr>
        <w:tab/>
        <w:t xml:space="preserve">X. Song, Y. Xue, Q. Wang, X. Wu, </w:t>
      </w:r>
      <w:r w:rsidRPr="00A02BDC">
        <w:rPr>
          <w:rFonts w:cs="Times New Roman"/>
          <w:i/>
          <w:iCs/>
          <w:noProof/>
          <w:szCs w:val="24"/>
        </w:rPr>
        <w:t>J. Agric. Food. Chem.</w:t>
      </w:r>
      <w:r w:rsidRPr="00A02BDC">
        <w:rPr>
          <w:rFonts w:cs="Times New Roman"/>
          <w:noProof/>
          <w:szCs w:val="24"/>
        </w:rPr>
        <w:t xml:space="preserve"> </w:t>
      </w:r>
      <w:r w:rsidRPr="00A02BDC">
        <w:rPr>
          <w:rFonts w:cs="Times New Roman"/>
          <w:b/>
          <w:bCs/>
          <w:noProof/>
          <w:szCs w:val="24"/>
        </w:rPr>
        <w:t>2011</w:t>
      </w:r>
      <w:r w:rsidRPr="00A02BDC">
        <w:rPr>
          <w:rFonts w:cs="Times New Roman"/>
          <w:noProof/>
          <w:szCs w:val="24"/>
        </w:rPr>
        <w:t xml:space="preserve">, </w:t>
      </w:r>
      <w:r w:rsidRPr="00A02BDC">
        <w:rPr>
          <w:rFonts w:cs="Times New Roman"/>
          <w:i/>
          <w:iCs/>
          <w:noProof/>
          <w:szCs w:val="24"/>
        </w:rPr>
        <w:t>59</w:t>
      </w:r>
      <w:r w:rsidRPr="00A02BDC">
        <w:rPr>
          <w:rFonts w:cs="Times New Roman"/>
          <w:noProof/>
          <w:szCs w:val="24"/>
        </w:rPr>
        <w:t>, 1954–1961.</w:t>
      </w:r>
    </w:p>
    <w:p w14:paraId="2CF4B33B"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[18]</w:t>
      </w:r>
      <w:r w:rsidRPr="00A02BDC">
        <w:rPr>
          <w:rFonts w:cs="Times New Roman"/>
          <w:noProof/>
          <w:szCs w:val="24"/>
        </w:rPr>
        <w:tab/>
        <w:t xml:space="preserve">H. Cao, Y. Zhang, P. Shi, R. Ma, H. Yang, W. Xia, Y. Cui, H. Luo, Y. Bai, B. Yao, </w:t>
      </w:r>
      <w:r w:rsidRPr="00A02BDC">
        <w:rPr>
          <w:rFonts w:cs="Times New Roman"/>
          <w:i/>
          <w:iCs/>
          <w:noProof/>
          <w:szCs w:val="24"/>
        </w:rPr>
        <w:t>J. Ind. Microbiol. Biotechnol.</w:t>
      </w:r>
      <w:r w:rsidRPr="00A02BDC">
        <w:rPr>
          <w:rFonts w:cs="Times New Roman"/>
          <w:noProof/>
          <w:szCs w:val="24"/>
        </w:rPr>
        <w:t xml:space="preserve"> </w:t>
      </w:r>
      <w:r w:rsidRPr="00A02BDC">
        <w:rPr>
          <w:rFonts w:cs="Times New Roman"/>
          <w:b/>
          <w:bCs/>
          <w:noProof/>
          <w:szCs w:val="24"/>
        </w:rPr>
        <w:t>2018</w:t>
      </w:r>
      <w:r w:rsidRPr="00A02BDC">
        <w:rPr>
          <w:rFonts w:cs="Times New Roman"/>
          <w:noProof/>
          <w:szCs w:val="24"/>
        </w:rPr>
        <w:t xml:space="preserve">, </w:t>
      </w:r>
      <w:r w:rsidRPr="00A02BDC">
        <w:rPr>
          <w:rFonts w:cs="Times New Roman"/>
          <w:i/>
          <w:iCs/>
          <w:noProof/>
          <w:szCs w:val="24"/>
        </w:rPr>
        <w:t>45</w:t>
      </w:r>
      <w:r w:rsidRPr="00A02BDC">
        <w:rPr>
          <w:rFonts w:cs="Times New Roman"/>
          <w:noProof/>
          <w:szCs w:val="24"/>
        </w:rPr>
        <w:t>, 369–378.</w:t>
      </w:r>
    </w:p>
    <w:p w14:paraId="428C983E"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[19]</w:t>
      </w:r>
      <w:r w:rsidRPr="00A02BDC">
        <w:rPr>
          <w:rFonts w:cs="Times New Roman"/>
          <w:noProof/>
          <w:szCs w:val="24"/>
        </w:rPr>
        <w:tab/>
        <w:t xml:space="preserve">J. Batra, S. Mishra, </w:t>
      </w:r>
      <w:r w:rsidRPr="00A02BDC">
        <w:rPr>
          <w:rFonts w:cs="Times New Roman"/>
          <w:i/>
          <w:iCs/>
          <w:noProof/>
          <w:szCs w:val="24"/>
        </w:rPr>
        <w:t>J. Mol. Catal. B: Enzym.</w:t>
      </w:r>
      <w:r w:rsidRPr="00A02BDC">
        <w:rPr>
          <w:rFonts w:cs="Times New Roman"/>
          <w:noProof/>
          <w:szCs w:val="24"/>
        </w:rPr>
        <w:t xml:space="preserve"> </w:t>
      </w:r>
      <w:r w:rsidRPr="00A02BDC">
        <w:rPr>
          <w:rFonts w:cs="Times New Roman"/>
          <w:b/>
          <w:bCs/>
          <w:noProof/>
          <w:szCs w:val="24"/>
        </w:rPr>
        <w:t>2013</w:t>
      </w:r>
      <w:r w:rsidRPr="00A02BDC">
        <w:rPr>
          <w:rFonts w:cs="Times New Roman"/>
          <w:noProof/>
          <w:szCs w:val="24"/>
        </w:rPr>
        <w:t xml:space="preserve">, </w:t>
      </w:r>
      <w:r w:rsidRPr="00A02BDC">
        <w:rPr>
          <w:rFonts w:cs="Times New Roman"/>
          <w:i/>
          <w:iCs/>
          <w:noProof/>
          <w:szCs w:val="24"/>
        </w:rPr>
        <w:t>96</w:t>
      </w:r>
      <w:r w:rsidRPr="00A02BDC">
        <w:rPr>
          <w:rFonts w:cs="Times New Roman"/>
          <w:noProof/>
          <w:szCs w:val="24"/>
        </w:rPr>
        <w:t>, 61–66.</w:t>
      </w:r>
    </w:p>
    <w:p w14:paraId="26B94E64"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[20]</w:t>
      </w:r>
      <w:r w:rsidRPr="00A02BDC">
        <w:rPr>
          <w:rFonts w:cs="Times New Roman"/>
          <w:noProof/>
          <w:szCs w:val="24"/>
        </w:rPr>
        <w:tab/>
        <w:t xml:space="preserve">P. O. De Giuseppe, T. D. A. C. B. Souza, F. H. M. Souza, L. M. Zanphorlin, C. B. Machado, R. J. Ward, J. A. Jorge, R. D. P. M. Furriel, M. T. Murakami, </w:t>
      </w:r>
      <w:r w:rsidRPr="00A02BDC">
        <w:rPr>
          <w:rFonts w:cs="Times New Roman"/>
          <w:i/>
          <w:iCs/>
          <w:noProof/>
          <w:szCs w:val="24"/>
        </w:rPr>
        <w:t>Acta Crystallogr. Sect. D. Biol. Crystallogr.</w:t>
      </w:r>
      <w:r w:rsidRPr="00A02BDC">
        <w:rPr>
          <w:rFonts w:cs="Times New Roman"/>
          <w:noProof/>
          <w:szCs w:val="24"/>
        </w:rPr>
        <w:t xml:space="preserve"> </w:t>
      </w:r>
      <w:r w:rsidRPr="00A02BDC">
        <w:rPr>
          <w:rFonts w:cs="Times New Roman"/>
          <w:b/>
          <w:bCs/>
          <w:noProof/>
          <w:szCs w:val="24"/>
        </w:rPr>
        <w:t>2014</w:t>
      </w:r>
      <w:r w:rsidRPr="00A02BDC">
        <w:rPr>
          <w:rFonts w:cs="Times New Roman"/>
          <w:noProof/>
          <w:szCs w:val="24"/>
        </w:rPr>
        <w:t xml:space="preserve">, </w:t>
      </w:r>
      <w:r w:rsidRPr="00A02BDC">
        <w:rPr>
          <w:rFonts w:cs="Times New Roman"/>
          <w:i/>
          <w:iCs/>
          <w:noProof/>
          <w:szCs w:val="24"/>
        </w:rPr>
        <w:t>70</w:t>
      </w:r>
      <w:r w:rsidRPr="00A02BDC">
        <w:rPr>
          <w:rFonts w:cs="Times New Roman"/>
          <w:noProof/>
          <w:szCs w:val="24"/>
        </w:rPr>
        <w:t>, 1631–1639.</w:t>
      </w:r>
    </w:p>
    <w:p w14:paraId="2E01159D"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[21]</w:t>
      </w:r>
      <w:r w:rsidRPr="00A02BDC">
        <w:rPr>
          <w:rFonts w:cs="Times New Roman"/>
          <w:noProof/>
          <w:szCs w:val="24"/>
        </w:rPr>
        <w:tab/>
        <w:t xml:space="preserve">C. S. Chan, L. L. Sin, K.-G. Chan, M. S. Shamsir, F. A. Manan, R. K. Sani, K. M. Goh, </w:t>
      </w:r>
      <w:r w:rsidRPr="00A02BDC">
        <w:rPr>
          <w:rFonts w:cs="Times New Roman"/>
          <w:i/>
          <w:iCs/>
          <w:noProof/>
          <w:szCs w:val="24"/>
        </w:rPr>
        <w:t>Biotechnol. Biofuels</w:t>
      </w:r>
      <w:r w:rsidRPr="00A02BDC">
        <w:rPr>
          <w:rFonts w:cs="Times New Roman"/>
          <w:noProof/>
          <w:szCs w:val="24"/>
        </w:rPr>
        <w:t xml:space="preserve"> </w:t>
      </w:r>
      <w:r w:rsidRPr="00A02BDC">
        <w:rPr>
          <w:rFonts w:cs="Times New Roman"/>
          <w:b/>
          <w:bCs/>
          <w:noProof/>
          <w:szCs w:val="24"/>
        </w:rPr>
        <w:t>2016</w:t>
      </w:r>
      <w:r w:rsidRPr="00A02BDC">
        <w:rPr>
          <w:rFonts w:cs="Times New Roman"/>
          <w:noProof/>
          <w:szCs w:val="24"/>
        </w:rPr>
        <w:t xml:space="preserve">, </w:t>
      </w:r>
      <w:r w:rsidRPr="00A02BDC">
        <w:rPr>
          <w:rFonts w:cs="Times New Roman"/>
          <w:i/>
          <w:iCs/>
          <w:noProof/>
          <w:szCs w:val="24"/>
        </w:rPr>
        <w:t>9</w:t>
      </w:r>
      <w:r w:rsidRPr="00A02BDC">
        <w:rPr>
          <w:rFonts w:cs="Times New Roman"/>
          <w:noProof/>
          <w:szCs w:val="24"/>
        </w:rPr>
        <w:t>, 174.</w:t>
      </w:r>
    </w:p>
    <w:p w14:paraId="7AA70637"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[22]</w:t>
      </w:r>
      <w:r w:rsidRPr="00A02BDC">
        <w:rPr>
          <w:rFonts w:cs="Times New Roman"/>
          <w:noProof/>
          <w:szCs w:val="24"/>
        </w:rPr>
        <w:tab/>
        <w:t xml:space="preserve">K. Goto, H. Matsubara, K. Mochida, T. Matsumura, Y. Hara, M. Niwa, K. Yamasato, </w:t>
      </w:r>
      <w:r w:rsidRPr="00A02BDC">
        <w:rPr>
          <w:rFonts w:cs="Times New Roman"/>
          <w:i/>
          <w:iCs/>
          <w:noProof/>
          <w:szCs w:val="24"/>
        </w:rPr>
        <w:t>Int. J. Syst. Evol. Microbiol.</w:t>
      </w:r>
      <w:r w:rsidRPr="00A02BDC">
        <w:rPr>
          <w:rFonts w:cs="Times New Roman"/>
          <w:noProof/>
          <w:szCs w:val="24"/>
        </w:rPr>
        <w:t xml:space="preserve"> </w:t>
      </w:r>
      <w:r w:rsidRPr="00A02BDC">
        <w:rPr>
          <w:rFonts w:cs="Times New Roman"/>
          <w:b/>
          <w:bCs/>
          <w:noProof/>
          <w:szCs w:val="24"/>
        </w:rPr>
        <w:t>2002</w:t>
      </w:r>
      <w:r w:rsidRPr="00A02BDC">
        <w:rPr>
          <w:rFonts w:cs="Times New Roman"/>
          <w:noProof/>
          <w:szCs w:val="24"/>
        </w:rPr>
        <w:t xml:space="preserve">, </w:t>
      </w:r>
      <w:r w:rsidRPr="00A02BDC">
        <w:rPr>
          <w:rFonts w:cs="Times New Roman"/>
          <w:i/>
          <w:iCs/>
          <w:noProof/>
          <w:szCs w:val="24"/>
        </w:rPr>
        <w:t>52</w:t>
      </w:r>
      <w:r w:rsidRPr="00A02BDC">
        <w:rPr>
          <w:rFonts w:cs="Times New Roman"/>
          <w:noProof/>
          <w:szCs w:val="24"/>
        </w:rPr>
        <w:t>, 109–113.</w:t>
      </w:r>
    </w:p>
    <w:p w14:paraId="74A6788B"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[23]</w:t>
      </w:r>
      <w:r w:rsidRPr="00A02BDC">
        <w:rPr>
          <w:rFonts w:cs="Times New Roman"/>
          <w:noProof/>
          <w:szCs w:val="24"/>
        </w:rPr>
        <w:tab/>
        <w:t xml:space="preserve">B. A. Gasteiger E., Hoogland C., Gattiker A., Duvaud S., Wilkins M.R., Appel R.D., </w:t>
      </w:r>
      <w:r w:rsidRPr="00A02BDC">
        <w:rPr>
          <w:rFonts w:cs="Times New Roman"/>
          <w:i/>
          <w:iCs/>
          <w:noProof/>
          <w:szCs w:val="24"/>
        </w:rPr>
        <w:t>The Proteomics Protocols Handbook</w:t>
      </w:r>
      <w:r w:rsidRPr="00A02BDC">
        <w:rPr>
          <w:rFonts w:cs="Times New Roman"/>
          <w:noProof/>
          <w:szCs w:val="24"/>
        </w:rPr>
        <w:t xml:space="preserve">, Humana Press, </w:t>
      </w:r>
      <w:r w:rsidRPr="00A02BDC">
        <w:rPr>
          <w:rFonts w:cs="Times New Roman"/>
          <w:b/>
          <w:bCs/>
          <w:noProof/>
          <w:szCs w:val="24"/>
        </w:rPr>
        <w:t>2005</w:t>
      </w:r>
      <w:r w:rsidRPr="00A02BDC">
        <w:rPr>
          <w:rFonts w:cs="Times New Roman"/>
          <w:noProof/>
          <w:szCs w:val="24"/>
        </w:rPr>
        <w:t>.</w:t>
      </w:r>
    </w:p>
    <w:p w14:paraId="316B6369"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lastRenderedPageBreak/>
        <w:t>[24]</w:t>
      </w:r>
      <w:r w:rsidRPr="00A02BDC">
        <w:rPr>
          <w:rFonts w:cs="Times New Roman"/>
          <w:noProof/>
          <w:szCs w:val="24"/>
        </w:rPr>
        <w:tab/>
        <w:t xml:space="preserve">L. Holm, </w:t>
      </w:r>
      <w:r w:rsidRPr="00A02BDC">
        <w:rPr>
          <w:rFonts w:cs="Times New Roman"/>
          <w:i/>
          <w:iCs/>
          <w:noProof/>
          <w:szCs w:val="24"/>
        </w:rPr>
        <w:t>Bioinformatics</w:t>
      </w:r>
      <w:r w:rsidRPr="00A02BDC">
        <w:rPr>
          <w:rFonts w:cs="Times New Roman"/>
          <w:noProof/>
          <w:szCs w:val="24"/>
        </w:rPr>
        <w:t xml:space="preserve"> </w:t>
      </w:r>
      <w:r w:rsidRPr="00A02BDC">
        <w:rPr>
          <w:rFonts w:cs="Times New Roman"/>
          <w:b/>
          <w:bCs/>
          <w:noProof/>
          <w:szCs w:val="24"/>
        </w:rPr>
        <w:t>2019</w:t>
      </w:r>
      <w:r w:rsidRPr="00A02BDC">
        <w:rPr>
          <w:rFonts w:cs="Times New Roman"/>
          <w:noProof/>
          <w:szCs w:val="24"/>
        </w:rPr>
        <w:t>, 1–2.</w:t>
      </w:r>
    </w:p>
    <w:p w14:paraId="7FD170CF"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[25]</w:t>
      </w:r>
      <w:r w:rsidRPr="00A02BDC">
        <w:rPr>
          <w:rFonts w:cs="Times New Roman"/>
          <w:noProof/>
          <w:szCs w:val="24"/>
        </w:rPr>
        <w:tab/>
        <w:t xml:space="preserve">P. Isorna, J. Polaina, L. Latorre-García, F. J. Cañada, B. González, J. Sanz-Aparicio, </w:t>
      </w:r>
      <w:r w:rsidRPr="00A02BDC">
        <w:rPr>
          <w:rFonts w:cs="Times New Roman"/>
          <w:i/>
          <w:iCs/>
          <w:noProof/>
          <w:szCs w:val="24"/>
        </w:rPr>
        <w:t>J. Mol. Biol.</w:t>
      </w:r>
      <w:r w:rsidRPr="00A02BDC">
        <w:rPr>
          <w:rFonts w:cs="Times New Roman"/>
          <w:noProof/>
          <w:szCs w:val="24"/>
        </w:rPr>
        <w:t xml:space="preserve"> </w:t>
      </w:r>
      <w:r w:rsidRPr="00A02BDC">
        <w:rPr>
          <w:rFonts w:cs="Times New Roman"/>
          <w:b/>
          <w:bCs/>
          <w:noProof/>
          <w:szCs w:val="24"/>
        </w:rPr>
        <w:t>2007</w:t>
      </w:r>
      <w:r w:rsidRPr="00A02BDC">
        <w:rPr>
          <w:rFonts w:cs="Times New Roman"/>
          <w:noProof/>
          <w:szCs w:val="24"/>
        </w:rPr>
        <w:t xml:space="preserve">, </w:t>
      </w:r>
      <w:r w:rsidRPr="00A02BDC">
        <w:rPr>
          <w:rFonts w:cs="Times New Roman"/>
          <w:i/>
          <w:iCs/>
          <w:noProof/>
          <w:szCs w:val="24"/>
        </w:rPr>
        <w:t>371</w:t>
      </w:r>
      <w:r w:rsidRPr="00A02BDC">
        <w:rPr>
          <w:rFonts w:cs="Times New Roman"/>
          <w:noProof/>
          <w:szCs w:val="24"/>
        </w:rPr>
        <w:t>, 1204–1218.</w:t>
      </w:r>
    </w:p>
    <w:p w14:paraId="20E1A1D9"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[26]</w:t>
      </w:r>
      <w:r w:rsidRPr="00A02BDC">
        <w:rPr>
          <w:rFonts w:cs="Times New Roman"/>
          <w:noProof/>
          <w:szCs w:val="24"/>
        </w:rPr>
        <w:tab/>
        <w:t xml:space="preserve">R. A. Laskowski, J. D. Watson, J. M. Thornton, </w:t>
      </w:r>
      <w:r w:rsidRPr="00A02BDC">
        <w:rPr>
          <w:rFonts w:cs="Times New Roman"/>
          <w:i/>
          <w:iCs/>
          <w:noProof/>
          <w:szCs w:val="24"/>
        </w:rPr>
        <w:t>Nucleic Acids Res.</w:t>
      </w:r>
      <w:r w:rsidRPr="00A02BDC">
        <w:rPr>
          <w:rFonts w:cs="Times New Roman"/>
          <w:noProof/>
          <w:szCs w:val="24"/>
        </w:rPr>
        <w:t xml:space="preserve"> </w:t>
      </w:r>
      <w:r w:rsidRPr="00A02BDC">
        <w:rPr>
          <w:rFonts w:cs="Times New Roman"/>
          <w:b/>
          <w:bCs/>
          <w:noProof/>
          <w:szCs w:val="24"/>
        </w:rPr>
        <w:t>2005</w:t>
      </w:r>
      <w:r w:rsidRPr="00A02BDC">
        <w:rPr>
          <w:rFonts w:cs="Times New Roman"/>
          <w:noProof/>
          <w:szCs w:val="24"/>
        </w:rPr>
        <w:t xml:space="preserve">, </w:t>
      </w:r>
      <w:r w:rsidRPr="00A02BDC">
        <w:rPr>
          <w:rFonts w:cs="Times New Roman"/>
          <w:i/>
          <w:iCs/>
          <w:noProof/>
          <w:szCs w:val="24"/>
        </w:rPr>
        <w:t>33</w:t>
      </w:r>
      <w:r w:rsidRPr="00A02BDC">
        <w:rPr>
          <w:rFonts w:cs="Times New Roman"/>
          <w:noProof/>
          <w:szCs w:val="24"/>
        </w:rPr>
        <w:t>, W89-93.</w:t>
      </w:r>
    </w:p>
    <w:p w14:paraId="0B0AC3FF"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[27]</w:t>
      </w:r>
      <w:r w:rsidRPr="00A02BDC">
        <w:rPr>
          <w:rFonts w:cs="Times New Roman"/>
          <w:noProof/>
          <w:szCs w:val="24"/>
        </w:rPr>
        <w:tab/>
        <w:t xml:space="preserve">T. Barrett, C. G. Suresh, S. P. Tolley, E. J. Dodson, M. A. Hughes, </w:t>
      </w:r>
      <w:r w:rsidRPr="00A02BDC">
        <w:rPr>
          <w:rFonts w:cs="Times New Roman"/>
          <w:i/>
          <w:iCs/>
          <w:noProof/>
          <w:szCs w:val="24"/>
        </w:rPr>
        <w:t>Structure</w:t>
      </w:r>
      <w:r w:rsidRPr="00A02BDC">
        <w:rPr>
          <w:rFonts w:cs="Times New Roman"/>
          <w:noProof/>
          <w:szCs w:val="24"/>
        </w:rPr>
        <w:t xml:space="preserve"> </w:t>
      </w:r>
      <w:r w:rsidRPr="00A02BDC">
        <w:rPr>
          <w:rFonts w:cs="Times New Roman"/>
          <w:b/>
          <w:bCs/>
          <w:noProof/>
          <w:szCs w:val="24"/>
        </w:rPr>
        <w:t>1995</w:t>
      </w:r>
      <w:r w:rsidRPr="00A02BDC">
        <w:rPr>
          <w:rFonts w:cs="Times New Roman"/>
          <w:noProof/>
          <w:szCs w:val="24"/>
        </w:rPr>
        <w:t xml:space="preserve">, </w:t>
      </w:r>
      <w:r w:rsidRPr="00A02BDC">
        <w:rPr>
          <w:rFonts w:cs="Times New Roman"/>
          <w:i/>
          <w:iCs/>
          <w:noProof/>
          <w:szCs w:val="24"/>
        </w:rPr>
        <w:t>3</w:t>
      </w:r>
      <w:r w:rsidRPr="00A02BDC">
        <w:rPr>
          <w:rFonts w:cs="Times New Roman"/>
          <w:noProof/>
          <w:szCs w:val="24"/>
        </w:rPr>
        <w:t>, 951–960.</w:t>
      </w:r>
    </w:p>
    <w:p w14:paraId="370DD006"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[28]</w:t>
      </w:r>
      <w:r w:rsidRPr="00A02BDC">
        <w:rPr>
          <w:rFonts w:cs="Times New Roman"/>
          <w:noProof/>
          <w:szCs w:val="24"/>
        </w:rPr>
        <w:tab/>
        <w:t xml:space="preserve">X. Robert, P. Gouet, </w:t>
      </w:r>
      <w:r w:rsidRPr="00A02BDC">
        <w:rPr>
          <w:rFonts w:cs="Times New Roman"/>
          <w:i/>
          <w:iCs/>
          <w:noProof/>
          <w:szCs w:val="24"/>
        </w:rPr>
        <w:t>Nucleic Acids Res.</w:t>
      </w:r>
      <w:r w:rsidRPr="00A02BDC">
        <w:rPr>
          <w:rFonts w:cs="Times New Roman"/>
          <w:noProof/>
          <w:szCs w:val="24"/>
        </w:rPr>
        <w:t xml:space="preserve"> </w:t>
      </w:r>
      <w:r w:rsidRPr="00A02BDC">
        <w:rPr>
          <w:rFonts w:cs="Times New Roman"/>
          <w:b/>
          <w:bCs/>
          <w:noProof/>
          <w:szCs w:val="24"/>
        </w:rPr>
        <w:t>2014</w:t>
      </w:r>
      <w:r w:rsidRPr="00A02BDC">
        <w:rPr>
          <w:rFonts w:cs="Times New Roman"/>
          <w:noProof/>
          <w:szCs w:val="24"/>
        </w:rPr>
        <w:t xml:space="preserve">, </w:t>
      </w:r>
      <w:r w:rsidRPr="00A02BDC">
        <w:rPr>
          <w:rFonts w:cs="Times New Roman"/>
          <w:i/>
          <w:iCs/>
          <w:noProof/>
          <w:szCs w:val="24"/>
        </w:rPr>
        <w:t>42</w:t>
      </w:r>
      <w:r w:rsidRPr="00A02BDC">
        <w:rPr>
          <w:rFonts w:cs="Times New Roman"/>
          <w:noProof/>
          <w:szCs w:val="24"/>
        </w:rPr>
        <w:t>, W320–W324.</w:t>
      </w:r>
    </w:p>
    <w:p w14:paraId="27F24D79"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[29]</w:t>
      </w:r>
      <w:r w:rsidRPr="00A02BDC">
        <w:rPr>
          <w:rFonts w:cs="Times New Roman"/>
          <w:noProof/>
          <w:szCs w:val="24"/>
        </w:rPr>
        <w:tab/>
        <w:t xml:space="preserve">J. Sanz-Aparicio, J. A. Hermoso, M. Martínez-Ripoll, B. González, C. López-Camacho, J. Polaina, </w:t>
      </w:r>
      <w:r w:rsidRPr="00A02BDC">
        <w:rPr>
          <w:rFonts w:cs="Times New Roman"/>
          <w:i/>
          <w:iCs/>
          <w:noProof/>
          <w:szCs w:val="24"/>
        </w:rPr>
        <w:t>Proteins Struct. Funct. Genet.</w:t>
      </w:r>
      <w:r w:rsidRPr="00A02BDC">
        <w:rPr>
          <w:rFonts w:cs="Times New Roman"/>
          <w:noProof/>
          <w:szCs w:val="24"/>
        </w:rPr>
        <w:t xml:space="preserve"> </w:t>
      </w:r>
      <w:r w:rsidRPr="00A02BDC">
        <w:rPr>
          <w:rFonts w:cs="Times New Roman"/>
          <w:b/>
          <w:bCs/>
          <w:noProof/>
          <w:szCs w:val="24"/>
        </w:rPr>
        <w:t>1998</w:t>
      </w:r>
      <w:r w:rsidRPr="00A02BDC">
        <w:rPr>
          <w:rFonts w:cs="Times New Roman"/>
          <w:noProof/>
          <w:szCs w:val="24"/>
        </w:rPr>
        <w:t xml:space="preserve">, </w:t>
      </w:r>
      <w:r w:rsidRPr="00A02BDC">
        <w:rPr>
          <w:rFonts w:cs="Times New Roman"/>
          <w:i/>
          <w:iCs/>
          <w:noProof/>
          <w:szCs w:val="24"/>
        </w:rPr>
        <w:t>33</w:t>
      </w:r>
      <w:r w:rsidRPr="00A02BDC">
        <w:rPr>
          <w:rFonts w:cs="Times New Roman"/>
          <w:noProof/>
          <w:szCs w:val="24"/>
        </w:rPr>
        <w:t>, 567–576.</w:t>
      </w:r>
    </w:p>
    <w:p w14:paraId="1592E5E3"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[30]</w:t>
      </w:r>
      <w:r w:rsidRPr="00A02BDC">
        <w:rPr>
          <w:rFonts w:cs="Times New Roman"/>
          <w:noProof/>
          <w:szCs w:val="24"/>
        </w:rPr>
        <w:tab/>
        <w:t xml:space="preserve">S. McNicholas, E. Potterton, K. S. Wilson, M. E. M. Noble, </w:t>
      </w:r>
      <w:r w:rsidRPr="00A02BDC">
        <w:rPr>
          <w:rFonts w:cs="Times New Roman"/>
          <w:i/>
          <w:iCs/>
          <w:noProof/>
          <w:szCs w:val="24"/>
        </w:rPr>
        <w:t>Acta Crystallogr. Sect. D. Biol. Crystallogr.</w:t>
      </w:r>
      <w:r w:rsidRPr="00A02BDC">
        <w:rPr>
          <w:rFonts w:cs="Times New Roman"/>
          <w:noProof/>
          <w:szCs w:val="24"/>
        </w:rPr>
        <w:t xml:space="preserve"> </w:t>
      </w:r>
      <w:r w:rsidRPr="00A02BDC">
        <w:rPr>
          <w:rFonts w:cs="Times New Roman"/>
          <w:b/>
          <w:bCs/>
          <w:noProof/>
          <w:szCs w:val="24"/>
        </w:rPr>
        <w:t>2011</w:t>
      </w:r>
      <w:r w:rsidRPr="00A02BDC">
        <w:rPr>
          <w:rFonts w:cs="Times New Roman"/>
          <w:noProof/>
          <w:szCs w:val="24"/>
        </w:rPr>
        <w:t xml:space="preserve">, </w:t>
      </w:r>
      <w:r w:rsidRPr="00A02BDC">
        <w:rPr>
          <w:rFonts w:cs="Times New Roman"/>
          <w:i/>
          <w:iCs/>
          <w:noProof/>
          <w:szCs w:val="24"/>
        </w:rPr>
        <w:t>67</w:t>
      </w:r>
      <w:r w:rsidRPr="00A02BDC">
        <w:rPr>
          <w:rFonts w:cs="Times New Roman"/>
          <w:noProof/>
          <w:szCs w:val="24"/>
        </w:rPr>
        <w:t>, 386–394.</w:t>
      </w:r>
    </w:p>
    <w:p w14:paraId="3F8A0184"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[31]</w:t>
      </w:r>
      <w:r w:rsidRPr="00A02BDC">
        <w:rPr>
          <w:rFonts w:cs="Times New Roman"/>
          <w:noProof/>
          <w:szCs w:val="24"/>
        </w:rPr>
        <w:tab/>
        <w:t xml:space="preserve">R. A. Copeland, </w:t>
      </w:r>
      <w:r w:rsidRPr="00A02BDC">
        <w:rPr>
          <w:rFonts w:cs="Times New Roman"/>
          <w:i/>
          <w:iCs/>
          <w:noProof/>
          <w:szCs w:val="24"/>
        </w:rPr>
        <w:t>Enzymes. A Practical Introduction to Structure, Mechanism, and Data Analysis</w:t>
      </w:r>
      <w:r w:rsidRPr="00A02BDC">
        <w:rPr>
          <w:rFonts w:cs="Times New Roman"/>
          <w:noProof/>
          <w:szCs w:val="24"/>
        </w:rPr>
        <w:t xml:space="preserve">, Wiley-VCH, Inc., New York, </w:t>
      </w:r>
      <w:r w:rsidRPr="00A02BDC">
        <w:rPr>
          <w:rFonts w:cs="Times New Roman"/>
          <w:b/>
          <w:bCs/>
          <w:noProof/>
          <w:szCs w:val="24"/>
        </w:rPr>
        <w:t>2000</w:t>
      </w:r>
      <w:r w:rsidRPr="00A02BDC">
        <w:rPr>
          <w:rFonts w:cs="Times New Roman"/>
          <w:noProof/>
          <w:szCs w:val="24"/>
        </w:rPr>
        <w:t>.</w:t>
      </w:r>
    </w:p>
    <w:p w14:paraId="2C690CCE"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[32]</w:t>
      </w:r>
      <w:r w:rsidRPr="00A02BDC">
        <w:rPr>
          <w:rFonts w:cs="Times New Roman"/>
          <w:noProof/>
          <w:szCs w:val="24"/>
        </w:rPr>
        <w:tab/>
        <w:t xml:space="preserve">P. Pang, L. chuang Cao, Y. huan Liu, W. Xie, Z. Wang, </w:t>
      </w:r>
      <w:r w:rsidRPr="00A02BDC">
        <w:rPr>
          <w:rFonts w:cs="Times New Roman"/>
          <w:i/>
          <w:iCs/>
          <w:noProof/>
          <w:szCs w:val="24"/>
        </w:rPr>
        <w:t>J. Struct. Biol.</w:t>
      </w:r>
      <w:r w:rsidRPr="00A02BDC">
        <w:rPr>
          <w:rFonts w:cs="Times New Roman"/>
          <w:noProof/>
          <w:szCs w:val="24"/>
        </w:rPr>
        <w:t xml:space="preserve"> </w:t>
      </w:r>
      <w:r w:rsidRPr="00A02BDC">
        <w:rPr>
          <w:rFonts w:cs="Times New Roman"/>
          <w:b/>
          <w:bCs/>
          <w:noProof/>
          <w:szCs w:val="24"/>
        </w:rPr>
        <w:t>2017</w:t>
      </w:r>
      <w:r w:rsidRPr="00A02BDC">
        <w:rPr>
          <w:rFonts w:cs="Times New Roman"/>
          <w:noProof/>
          <w:szCs w:val="24"/>
        </w:rPr>
        <w:t xml:space="preserve">, </w:t>
      </w:r>
      <w:r w:rsidRPr="00A02BDC">
        <w:rPr>
          <w:rFonts w:cs="Times New Roman"/>
          <w:i/>
          <w:iCs/>
          <w:noProof/>
          <w:szCs w:val="24"/>
        </w:rPr>
        <w:t>198</w:t>
      </w:r>
      <w:r w:rsidRPr="00A02BDC">
        <w:rPr>
          <w:rFonts w:cs="Times New Roman"/>
          <w:noProof/>
          <w:szCs w:val="24"/>
        </w:rPr>
        <w:t>, 154–162.</w:t>
      </w:r>
    </w:p>
    <w:p w14:paraId="551D0B3C"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[33]</w:t>
      </w:r>
      <w:r w:rsidRPr="00A02BDC">
        <w:rPr>
          <w:rFonts w:cs="Times New Roman"/>
          <w:noProof/>
          <w:szCs w:val="24"/>
        </w:rPr>
        <w:tab/>
        <w:t xml:space="preserve">L. S. C. Costa, D. C. B. Mariano, R. E. O. Rocha, J. Kraml, C. H. da Silveira, K. R. Liedl, R. C. De Melo-Minardi, L. H. F. De Lima, </w:t>
      </w:r>
      <w:r w:rsidRPr="00A02BDC">
        <w:rPr>
          <w:rFonts w:cs="Times New Roman"/>
          <w:i/>
          <w:iCs/>
          <w:noProof/>
          <w:szCs w:val="24"/>
        </w:rPr>
        <w:t>Molecules</w:t>
      </w:r>
      <w:r w:rsidRPr="00A02BDC">
        <w:rPr>
          <w:rFonts w:cs="Times New Roman"/>
          <w:noProof/>
          <w:szCs w:val="24"/>
        </w:rPr>
        <w:t xml:space="preserve"> </w:t>
      </w:r>
      <w:r w:rsidRPr="00A02BDC">
        <w:rPr>
          <w:rFonts w:cs="Times New Roman"/>
          <w:b/>
          <w:bCs/>
          <w:noProof/>
          <w:szCs w:val="24"/>
        </w:rPr>
        <w:t>2019</w:t>
      </w:r>
      <w:r w:rsidRPr="00A02BDC">
        <w:rPr>
          <w:rFonts w:cs="Times New Roman"/>
          <w:noProof/>
          <w:szCs w:val="24"/>
        </w:rPr>
        <w:t xml:space="preserve">, </w:t>
      </w:r>
      <w:r w:rsidRPr="00A02BDC">
        <w:rPr>
          <w:rFonts w:cs="Times New Roman"/>
          <w:i/>
          <w:iCs/>
          <w:noProof/>
          <w:szCs w:val="24"/>
        </w:rPr>
        <w:t>24</w:t>
      </w:r>
      <w:r w:rsidRPr="00A02BDC">
        <w:rPr>
          <w:rFonts w:cs="Times New Roman"/>
          <w:noProof/>
          <w:szCs w:val="24"/>
        </w:rPr>
        <w:t>, DOI 10.3390/molecules24183215.</w:t>
      </w:r>
    </w:p>
    <w:p w14:paraId="5644D2D0"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[34]</w:t>
      </w:r>
      <w:r w:rsidRPr="00A02BDC">
        <w:rPr>
          <w:rFonts w:cs="Times New Roman"/>
          <w:noProof/>
          <w:szCs w:val="24"/>
        </w:rPr>
        <w:tab/>
        <w:t xml:space="preserve">M. Hrmova, G. B. Fincher, </w:t>
      </w:r>
      <w:r w:rsidRPr="00A02BDC">
        <w:rPr>
          <w:rFonts w:cs="Times New Roman"/>
          <w:i/>
          <w:iCs/>
          <w:noProof/>
          <w:szCs w:val="24"/>
        </w:rPr>
        <w:t>Carbohydr. Res.</w:t>
      </w:r>
      <w:r w:rsidRPr="00A02BDC">
        <w:rPr>
          <w:rFonts w:cs="Times New Roman"/>
          <w:noProof/>
          <w:szCs w:val="24"/>
        </w:rPr>
        <w:t xml:space="preserve"> </w:t>
      </w:r>
      <w:r w:rsidRPr="00A02BDC">
        <w:rPr>
          <w:rFonts w:cs="Times New Roman"/>
          <w:b/>
          <w:bCs/>
          <w:noProof/>
          <w:szCs w:val="24"/>
        </w:rPr>
        <w:t>2007</w:t>
      </w:r>
      <w:r w:rsidRPr="00A02BDC">
        <w:rPr>
          <w:rFonts w:cs="Times New Roman"/>
          <w:noProof/>
          <w:szCs w:val="24"/>
        </w:rPr>
        <w:t xml:space="preserve">, </w:t>
      </w:r>
      <w:r w:rsidRPr="00A02BDC">
        <w:rPr>
          <w:rFonts w:cs="Times New Roman"/>
          <w:i/>
          <w:iCs/>
          <w:noProof/>
          <w:szCs w:val="24"/>
        </w:rPr>
        <w:t>342</w:t>
      </w:r>
      <w:r w:rsidRPr="00A02BDC">
        <w:rPr>
          <w:rFonts w:cs="Times New Roman"/>
          <w:noProof/>
          <w:szCs w:val="24"/>
        </w:rPr>
        <w:t>, 1613–1623.</w:t>
      </w:r>
    </w:p>
    <w:p w14:paraId="2958637C"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[35]</w:t>
      </w:r>
      <w:r w:rsidRPr="00A02BDC">
        <w:rPr>
          <w:rFonts w:cs="Times New Roman"/>
          <w:noProof/>
          <w:szCs w:val="24"/>
        </w:rPr>
        <w:tab/>
        <w:t xml:space="preserve">A. Martino, C. Schiraldi, A. Di Lazzaro, I. Fiume, G. Spagna, P. . Pifferi, M. De Rosa, </w:t>
      </w:r>
      <w:r w:rsidRPr="00A02BDC">
        <w:rPr>
          <w:rFonts w:cs="Times New Roman"/>
          <w:i/>
          <w:iCs/>
          <w:noProof/>
          <w:szCs w:val="24"/>
        </w:rPr>
        <w:t>Process Biochem.</w:t>
      </w:r>
      <w:r w:rsidRPr="00A02BDC">
        <w:rPr>
          <w:rFonts w:cs="Times New Roman"/>
          <w:noProof/>
          <w:szCs w:val="24"/>
        </w:rPr>
        <w:t xml:space="preserve"> </w:t>
      </w:r>
      <w:r w:rsidRPr="00A02BDC">
        <w:rPr>
          <w:rFonts w:cs="Times New Roman"/>
          <w:b/>
          <w:bCs/>
          <w:noProof/>
          <w:szCs w:val="24"/>
        </w:rPr>
        <w:t>2000</w:t>
      </w:r>
      <w:r w:rsidRPr="00A02BDC">
        <w:rPr>
          <w:rFonts w:cs="Times New Roman"/>
          <w:noProof/>
          <w:szCs w:val="24"/>
        </w:rPr>
        <w:t xml:space="preserve">, </w:t>
      </w:r>
      <w:r w:rsidRPr="00A02BDC">
        <w:rPr>
          <w:rFonts w:cs="Times New Roman"/>
          <w:i/>
          <w:iCs/>
          <w:noProof/>
          <w:szCs w:val="24"/>
        </w:rPr>
        <w:t>36</w:t>
      </w:r>
      <w:r w:rsidRPr="00A02BDC">
        <w:rPr>
          <w:rFonts w:cs="Times New Roman"/>
          <w:noProof/>
          <w:szCs w:val="24"/>
        </w:rPr>
        <w:t>, 93–102.</w:t>
      </w:r>
    </w:p>
    <w:p w14:paraId="3EED516E"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[36]</w:t>
      </w:r>
      <w:r w:rsidRPr="00A02BDC">
        <w:rPr>
          <w:rFonts w:cs="Times New Roman"/>
          <w:noProof/>
          <w:szCs w:val="24"/>
        </w:rPr>
        <w:tab/>
        <w:t xml:space="preserve">V. R. N. Telis, J. Telis-Romero, H. B. Mazzotti, A. L. Gabas, </w:t>
      </w:r>
      <w:r w:rsidRPr="00A02BDC">
        <w:rPr>
          <w:rFonts w:cs="Times New Roman"/>
          <w:i/>
          <w:iCs/>
          <w:noProof/>
          <w:szCs w:val="24"/>
        </w:rPr>
        <w:t>Int. J. Food Prop.</w:t>
      </w:r>
      <w:r w:rsidRPr="00A02BDC">
        <w:rPr>
          <w:rFonts w:cs="Times New Roman"/>
          <w:noProof/>
          <w:szCs w:val="24"/>
        </w:rPr>
        <w:t xml:space="preserve"> </w:t>
      </w:r>
      <w:r w:rsidRPr="00A02BDC">
        <w:rPr>
          <w:rFonts w:cs="Times New Roman"/>
          <w:b/>
          <w:bCs/>
          <w:noProof/>
          <w:szCs w:val="24"/>
        </w:rPr>
        <w:t>2007</w:t>
      </w:r>
      <w:r w:rsidRPr="00A02BDC">
        <w:rPr>
          <w:rFonts w:cs="Times New Roman"/>
          <w:noProof/>
          <w:szCs w:val="24"/>
        </w:rPr>
        <w:t xml:space="preserve">, </w:t>
      </w:r>
      <w:r w:rsidRPr="00A02BDC">
        <w:rPr>
          <w:rFonts w:cs="Times New Roman"/>
          <w:i/>
          <w:iCs/>
          <w:noProof/>
          <w:szCs w:val="24"/>
        </w:rPr>
        <w:t>10</w:t>
      </w:r>
      <w:r w:rsidRPr="00A02BDC">
        <w:rPr>
          <w:rFonts w:cs="Times New Roman"/>
          <w:noProof/>
          <w:szCs w:val="24"/>
        </w:rPr>
        <w:t>, 185–195.</w:t>
      </w:r>
    </w:p>
    <w:p w14:paraId="3159CA72"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lastRenderedPageBreak/>
        <w:t>[37]</w:t>
      </w:r>
      <w:r w:rsidRPr="00A02BDC">
        <w:rPr>
          <w:rFonts w:cs="Times New Roman"/>
          <w:noProof/>
          <w:szCs w:val="24"/>
        </w:rPr>
        <w:tab/>
        <w:t xml:space="preserve">H. Michlmayr, C. Schümann, N. M. Barreira Braz Da Silva, K. D. Kulbe, A. M. Del Hierro, </w:t>
      </w:r>
      <w:r w:rsidRPr="00A02BDC">
        <w:rPr>
          <w:rFonts w:cs="Times New Roman"/>
          <w:i/>
          <w:iCs/>
          <w:noProof/>
          <w:szCs w:val="24"/>
        </w:rPr>
        <w:t>J. Appl. Microbiol.</w:t>
      </w:r>
      <w:r w:rsidRPr="00A02BDC">
        <w:rPr>
          <w:rFonts w:cs="Times New Roman"/>
          <w:noProof/>
          <w:szCs w:val="24"/>
        </w:rPr>
        <w:t xml:space="preserve"> </w:t>
      </w:r>
      <w:r w:rsidRPr="00A02BDC">
        <w:rPr>
          <w:rFonts w:cs="Times New Roman"/>
          <w:b/>
          <w:bCs/>
          <w:noProof/>
          <w:szCs w:val="24"/>
        </w:rPr>
        <w:t>2010</w:t>
      </w:r>
      <w:r w:rsidRPr="00A02BDC">
        <w:rPr>
          <w:rFonts w:cs="Times New Roman"/>
          <w:noProof/>
          <w:szCs w:val="24"/>
        </w:rPr>
        <w:t xml:space="preserve">, </w:t>
      </w:r>
      <w:r w:rsidRPr="00A02BDC">
        <w:rPr>
          <w:rFonts w:cs="Times New Roman"/>
          <w:i/>
          <w:iCs/>
          <w:noProof/>
          <w:szCs w:val="24"/>
        </w:rPr>
        <w:t>108</w:t>
      </w:r>
      <w:r w:rsidRPr="00A02BDC">
        <w:rPr>
          <w:rFonts w:cs="Times New Roman"/>
          <w:noProof/>
          <w:szCs w:val="24"/>
        </w:rPr>
        <w:t>, 550–559.</w:t>
      </w:r>
    </w:p>
    <w:p w14:paraId="5CB836F4"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[38]</w:t>
      </w:r>
      <w:r w:rsidRPr="00A02BDC">
        <w:rPr>
          <w:rFonts w:cs="Times New Roman"/>
          <w:noProof/>
          <w:szCs w:val="24"/>
        </w:rPr>
        <w:tab/>
        <w:t xml:space="preserve">H. Stan-Lotter, S. Fendrihan, </w:t>
      </w:r>
      <w:r w:rsidRPr="00A02BDC">
        <w:rPr>
          <w:rFonts w:cs="Times New Roman"/>
          <w:i/>
          <w:iCs/>
          <w:noProof/>
          <w:szCs w:val="24"/>
        </w:rPr>
        <w:t>Adapt. Microb. Life to Environ. Extrem. Nov. Res. Results Appl. Second Ed.</w:t>
      </w:r>
      <w:r w:rsidRPr="00A02BDC">
        <w:rPr>
          <w:rFonts w:cs="Times New Roman"/>
          <w:noProof/>
          <w:szCs w:val="24"/>
        </w:rPr>
        <w:t xml:space="preserve"> </w:t>
      </w:r>
      <w:r w:rsidRPr="00A02BDC">
        <w:rPr>
          <w:rFonts w:cs="Times New Roman"/>
          <w:b/>
          <w:bCs/>
          <w:noProof/>
          <w:szCs w:val="24"/>
        </w:rPr>
        <w:t>2017</w:t>
      </w:r>
      <w:r w:rsidRPr="00A02BDC">
        <w:rPr>
          <w:rFonts w:cs="Times New Roman"/>
          <w:noProof/>
          <w:szCs w:val="24"/>
        </w:rPr>
        <w:t>, 1–342.</w:t>
      </w:r>
    </w:p>
    <w:p w14:paraId="222109AE"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[39]</w:t>
      </w:r>
      <w:r w:rsidRPr="00A02BDC">
        <w:rPr>
          <w:rFonts w:cs="Times New Roman"/>
          <w:noProof/>
          <w:szCs w:val="24"/>
        </w:rPr>
        <w:tab/>
        <w:t xml:space="preserve">B. Di Lauro, M. Rossi, M. Moracci, </w:t>
      </w:r>
      <w:r w:rsidRPr="00A02BDC">
        <w:rPr>
          <w:rFonts w:cs="Times New Roman"/>
          <w:i/>
          <w:iCs/>
          <w:noProof/>
          <w:szCs w:val="24"/>
        </w:rPr>
        <w:t>Extremophiles</w:t>
      </w:r>
      <w:r w:rsidRPr="00A02BDC">
        <w:rPr>
          <w:rFonts w:cs="Times New Roman"/>
          <w:noProof/>
          <w:szCs w:val="24"/>
        </w:rPr>
        <w:t xml:space="preserve"> </w:t>
      </w:r>
      <w:r w:rsidRPr="00A02BDC">
        <w:rPr>
          <w:rFonts w:cs="Times New Roman"/>
          <w:b/>
          <w:bCs/>
          <w:noProof/>
          <w:szCs w:val="24"/>
        </w:rPr>
        <w:t>2006</w:t>
      </w:r>
      <w:r w:rsidRPr="00A02BDC">
        <w:rPr>
          <w:rFonts w:cs="Times New Roman"/>
          <w:noProof/>
          <w:szCs w:val="24"/>
        </w:rPr>
        <w:t xml:space="preserve">, </w:t>
      </w:r>
      <w:r w:rsidRPr="00A02BDC">
        <w:rPr>
          <w:rFonts w:cs="Times New Roman"/>
          <w:i/>
          <w:iCs/>
          <w:noProof/>
          <w:szCs w:val="24"/>
        </w:rPr>
        <w:t>10</w:t>
      </w:r>
      <w:r w:rsidRPr="00A02BDC">
        <w:rPr>
          <w:rFonts w:cs="Times New Roman"/>
          <w:noProof/>
          <w:szCs w:val="24"/>
        </w:rPr>
        <w:t>, 301–310.</w:t>
      </w:r>
    </w:p>
    <w:p w14:paraId="687D2649"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[40]</w:t>
      </w:r>
      <w:r w:rsidRPr="00A02BDC">
        <w:rPr>
          <w:rFonts w:cs="Times New Roman"/>
          <w:noProof/>
          <w:szCs w:val="24"/>
        </w:rPr>
        <w:tab/>
        <w:t xml:space="preserve">M. J. Arrizubieta, J. Polaina, </w:t>
      </w:r>
      <w:r w:rsidRPr="00A02BDC">
        <w:rPr>
          <w:rFonts w:cs="Times New Roman"/>
          <w:i/>
          <w:iCs/>
          <w:noProof/>
          <w:szCs w:val="24"/>
        </w:rPr>
        <w:t>J. Biol. Chem.</w:t>
      </w:r>
      <w:r w:rsidRPr="00A02BDC">
        <w:rPr>
          <w:rFonts w:cs="Times New Roman"/>
          <w:noProof/>
          <w:szCs w:val="24"/>
        </w:rPr>
        <w:t xml:space="preserve"> </w:t>
      </w:r>
      <w:r w:rsidRPr="00A02BDC">
        <w:rPr>
          <w:rFonts w:cs="Times New Roman"/>
          <w:b/>
          <w:bCs/>
          <w:noProof/>
          <w:szCs w:val="24"/>
        </w:rPr>
        <w:t>2000</w:t>
      </w:r>
      <w:r w:rsidRPr="00A02BDC">
        <w:rPr>
          <w:rFonts w:cs="Times New Roman"/>
          <w:noProof/>
          <w:szCs w:val="24"/>
        </w:rPr>
        <w:t xml:space="preserve">, </w:t>
      </w:r>
      <w:r w:rsidRPr="00A02BDC">
        <w:rPr>
          <w:rFonts w:cs="Times New Roman"/>
          <w:i/>
          <w:iCs/>
          <w:noProof/>
          <w:szCs w:val="24"/>
        </w:rPr>
        <w:t>275</w:t>
      </w:r>
      <w:r w:rsidRPr="00A02BDC">
        <w:rPr>
          <w:rFonts w:cs="Times New Roman"/>
          <w:noProof/>
          <w:szCs w:val="24"/>
        </w:rPr>
        <w:t>, 28843–28848.</w:t>
      </w:r>
    </w:p>
    <w:p w14:paraId="2432A2B3"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[41]</w:t>
      </w:r>
      <w:r w:rsidRPr="00A02BDC">
        <w:rPr>
          <w:rFonts w:cs="Times New Roman"/>
          <w:noProof/>
          <w:szCs w:val="24"/>
        </w:rPr>
        <w:tab/>
        <w:t xml:space="preserve">M. Camarillo-Cadena, G. Garza-Ramos, M. Peimbert, G. Pérez-Hernández, R. A. Zubillaga, </w:t>
      </w:r>
      <w:r w:rsidRPr="00A02BDC">
        <w:rPr>
          <w:rFonts w:cs="Times New Roman"/>
          <w:i/>
          <w:iCs/>
          <w:noProof/>
          <w:szCs w:val="24"/>
        </w:rPr>
        <w:t>Protein J.</w:t>
      </w:r>
      <w:r w:rsidRPr="00A02BDC">
        <w:rPr>
          <w:rFonts w:cs="Times New Roman"/>
          <w:noProof/>
          <w:szCs w:val="24"/>
        </w:rPr>
        <w:t xml:space="preserve"> </w:t>
      </w:r>
      <w:r w:rsidRPr="00A02BDC">
        <w:rPr>
          <w:rFonts w:cs="Times New Roman"/>
          <w:b/>
          <w:bCs/>
          <w:noProof/>
          <w:szCs w:val="24"/>
        </w:rPr>
        <w:t>2011</w:t>
      </w:r>
      <w:r w:rsidRPr="00A02BDC">
        <w:rPr>
          <w:rFonts w:cs="Times New Roman"/>
          <w:noProof/>
          <w:szCs w:val="24"/>
        </w:rPr>
        <w:t xml:space="preserve">, </w:t>
      </w:r>
      <w:r w:rsidRPr="00A02BDC">
        <w:rPr>
          <w:rFonts w:cs="Times New Roman"/>
          <w:i/>
          <w:iCs/>
          <w:noProof/>
          <w:szCs w:val="24"/>
        </w:rPr>
        <w:t>30</w:t>
      </w:r>
      <w:r w:rsidRPr="00A02BDC">
        <w:rPr>
          <w:rFonts w:cs="Times New Roman"/>
          <w:noProof/>
          <w:szCs w:val="24"/>
        </w:rPr>
        <w:t>, 318–323.</w:t>
      </w:r>
    </w:p>
    <w:p w14:paraId="4598813F"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[42]</w:t>
      </w:r>
      <w:r w:rsidRPr="00A02BDC">
        <w:rPr>
          <w:rFonts w:cs="Times New Roman"/>
          <w:noProof/>
          <w:szCs w:val="24"/>
        </w:rPr>
        <w:tab/>
        <w:t xml:space="preserve">M. Camarillo-Cadena, G. Garza-Ramos, M. Peimbert, J. Polaina, G. Pérez-Hernández, R. A. Zubillaga, </w:t>
      </w:r>
      <w:r w:rsidRPr="00A02BDC">
        <w:rPr>
          <w:rFonts w:cs="Times New Roman"/>
          <w:i/>
          <w:iCs/>
          <w:noProof/>
          <w:szCs w:val="24"/>
        </w:rPr>
        <w:t>Protein J.</w:t>
      </w:r>
      <w:r w:rsidRPr="00A02BDC">
        <w:rPr>
          <w:rFonts w:cs="Times New Roman"/>
          <w:noProof/>
          <w:szCs w:val="24"/>
        </w:rPr>
        <w:t xml:space="preserve"> </w:t>
      </w:r>
      <w:r w:rsidRPr="00A02BDC">
        <w:rPr>
          <w:rFonts w:cs="Times New Roman"/>
          <w:b/>
          <w:bCs/>
          <w:noProof/>
          <w:szCs w:val="24"/>
        </w:rPr>
        <w:t>2012</w:t>
      </w:r>
      <w:r w:rsidRPr="00A02BDC">
        <w:rPr>
          <w:rFonts w:cs="Times New Roman"/>
          <w:noProof/>
          <w:szCs w:val="24"/>
        </w:rPr>
        <w:t xml:space="preserve">, </w:t>
      </w:r>
      <w:r w:rsidRPr="00A02BDC">
        <w:rPr>
          <w:rFonts w:cs="Times New Roman"/>
          <w:i/>
          <w:iCs/>
          <w:noProof/>
          <w:szCs w:val="24"/>
        </w:rPr>
        <w:t>31</w:t>
      </w:r>
      <w:r w:rsidRPr="00A02BDC">
        <w:rPr>
          <w:rFonts w:cs="Times New Roman"/>
          <w:noProof/>
          <w:szCs w:val="24"/>
        </w:rPr>
        <w:t>, 615–622.</w:t>
      </w:r>
    </w:p>
    <w:p w14:paraId="06A32E06"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[43]</w:t>
      </w:r>
      <w:r w:rsidRPr="00A02BDC">
        <w:rPr>
          <w:rFonts w:cs="Times New Roman"/>
          <w:noProof/>
          <w:szCs w:val="24"/>
        </w:rPr>
        <w:tab/>
        <w:t xml:space="preserve">A. Bhattacharya, B. I. Pletschke, </w:t>
      </w:r>
      <w:r w:rsidRPr="00A02BDC">
        <w:rPr>
          <w:rFonts w:cs="Times New Roman"/>
          <w:i/>
          <w:iCs/>
          <w:noProof/>
          <w:szCs w:val="24"/>
        </w:rPr>
        <w:t>Enzyme Microb. Technol.</w:t>
      </w:r>
      <w:r w:rsidRPr="00A02BDC">
        <w:rPr>
          <w:rFonts w:cs="Times New Roman"/>
          <w:noProof/>
          <w:szCs w:val="24"/>
        </w:rPr>
        <w:t xml:space="preserve"> </w:t>
      </w:r>
      <w:r w:rsidRPr="00A02BDC">
        <w:rPr>
          <w:rFonts w:cs="Times New Roman"/>
          <w:b/>
          <w:bCs/>
          <w:noProof/>
          <w:szCs w:val="24"/>
        </w:rPr>
        <w:t>2014</w:t>
      </w:r>
      <w:r w:rsidRPr="00A02BDC">
        <w:rPr>
          <w:rFonts w:cs="Times New Roman"/>
          <w:noProof/>
          <w:szCs w:val="24"/>
        </w:rPr>
        <w:t xml:space="preserve">, </w:t>
      </w:r>
      <w:r w:rsidRPr="00A02BDC">
        <w:rPr>
          <w:rFonts w:cs="Times New Roman"/>
          <w:i/>
          <w:iCs/>
          <w:noProof/>
          <w:szCs w:val="24"/>
        </w:rPr>
        <w:t>55</w:t>
      </w:r>
      <w:r w:rsidRPr="00A02BDC">
        <w:rPr>
          <w:rFonts w:cs="Times New Roman"/>
          <w:noProof/>
          <w:szCs w:val="24"/>
        </w:rPr>
        <w:t>, 159–169.</w:t>
      </w:r>
    </w:p>
    <w:p w14:paraId="3D295161"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[44]</w:t>
      </w:r>
      <w:r w:rsidRPr="00A02BDC">
        <w:rPr>
          <w:rFonts w:cs="Times New Roman"/>
          <w:noProof/>
          <w:szCs w:val="24"/>
        </w:rPr>
        <w:tab/>
        <w:t xml:space="preserve">L. Delgado, M. Parker, I. Fisk, F. Paradisi, </w:t>
      </w:r>
      <w:r w:rsidRPr="00A02BDC">
        <w:rPr>
          <w:rFonts w:cs="Times New Roman"/>
          <w:i/>
          <w:iCs/>
          <w:noProof/>
          <w:szCs w:val="24"/>
        </w:rPr>
        <w:t>Food Chem.</w:t>
      </w:r>
      <w:r w:rsidRPr="00A02BDC">
        <w:rPr>
          <w:rFonts w:cs="Times New Roman"/>
          <w:noProof/>
          <w:szCs w:val="24"/>
        </w:rPr>
        <w:t xml:space="preserve"> </w:t>
      </w:r>
      <w:r w:rsidRPr="00A02BDC">
        <w:rPr>
          <w:rFonts w:cs="Times New Roman"/>
          <w:b/>
          <w:bCs/>
          <w:noProof/>
          <w:szCs w:val="24"/>
        </w:rPr>
        <w:t>2020</w:t>
      </w:r>
      <w:r w:rsidRPr="00A02BDC">
        <w:rPr>
          <w:rFonts w:cs="Times New Roman"/>
          <w:noProof/>
          <w:szCs w:val="24"/>
        </w:rPr>
        <w:t xml:space="preserve">, </w:t>
      </w:r>
      <w:r w:rsidRPr="00A02BDC">
        <w:rPr>
          <w:rFonts w:cs="Times New Roman"/>
          <w:i/>
          <w:iCs/>
          <w:noProof/>
          <w:szCs w:val="24"/>
        </w:rPr>
        <w:t>323</w:t>
      </w:r>
      <w:r w:rsidRPr="00A02BDC">
        <w:rPr>
          <w:rFonts w:cs="Times New Roman"/>
          <w:noProof/>
          <w:szCs w:val="24"/>
        </w:rPr>
        <w:t>, 126825.</w:t>
      </w:r>
    </w:p>
    <w:p w14:paraId="7523CEBA"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[45]</w:t>
      </w:r>
      <w:r w:rsidRPr="00A02BDC">
        <w:rPr>
          <w:rFonts w:cs="Times New Roman"/>
          <w:noProof/>
          <w:szCs w:val="24"/>
        </w:rPr>
        <w:tab/>
        <w:t xml:space="preserve">C. M. Heckmann, L. J. Gourlay, B. Dominguez, F. Paradisi, </w:t>
      </w:r>
      <w:r w:rsidRPr="00A02BDC">
        <w:rPr>
          <w:rFonts w:cs="Times New Roman"/>
          <w:i/>
          <w:iCs/>
          <w:noProof/>
          <w:szCs w:val="24"/>
        </w:rPr>
        <w:t>Front. Bioeng. Biotechnol.</w:t>
      </w:r>
      <w:r w:rsidRPr="00A02BDC">
        <w:rPr>
          <w:rFonts w:cs="Times New Roman"/>
          <w:noProof/>
          <w:szCs w:val="24"/>
        </w:rPr>
        <w:t xml:space="preserve"> </w:t>
      </w:r>
      <w:r w:rsidRPr="00A02BDC">
        <w:rPr>
          <w:rFonts w:cs="Times New Roman"/>
          <w:b/>
          <w:bCs/>
          <w:noProof/>
          <w:szCs w:val="24"/>
        </w:rPr>
        <w:t>2020</w:t>
      </w:r>
      <w:r w:rsidRPr="00A02BDC">
        <w:rPr>
          <w:rFonts w:cs="Times New Roman"/>
          <w:noProof/>
          <w:szCs w:val="24"/>
        </w:rPr>
        <w:t xml:space="preserve">, </w:t>
      </w:r>
      <w:r w:rsidRPr="00A02BDC">
        <w:rPr>
          <w:rFonts w:cs="Times New Roman"/>
          <w:i/>
          <w:iCs/>
          <w:noProof/>
          <w:szCs w:val="24"/>
        </w:rPr>
        <w:t>8</w:t>
      </w:r>
      <w:r w:rsidRPr="00A02BDC">
        <w:rPr>
          <w:rFonts w:cs="Times New Roman"/>
          <w:noProof/>
          <w:szCs w:val="24"/>
        </w:rPr>
        <w:t>, 707.</w:t>
      </w:r>
    </w:p>
    <w:p w14:paraId="79BEA343"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[46]</w:t>
      </w:r>
      <w:r w:rsidRPr="00A02BDC">
        <w:rPr>
          <w:rFonts w:cs="Times New Roman"/>
          <w:noProof/>
          <w:szCs w:val="24"/>
        </w:rPr>
        <w:tab/>
        <w:t xml:space="preserve">W. Kabsch, </w:t>
      </w:r>
      <w:r w:rsidRPr="00A02BDC">
        <w:rPr>
          <w:rFonts w:cs="Times New Roman"/>
          <w:i/>
          <w:iCs/>
          <w:noProof/>
          <w:szCs w:val="24"/>
        </w:rPr>
        <w:t>Acta Crystallogr. Sect. D Biol. Crystallogr.</w:t>
      </w:r>
      <w:r w:rsidRPr="00A02BDC">
        <w:rPr>
          <w:rFonts w:cs="Times New Roman"/>
          <w:noProof/>
          <w:szCs w:val="24"/>
        </w:rPr>
        <w:t xml:space="preserve"> </w:t>
      </w:r>
      <w:r w:rsidRPr="00A02BDC">
        <w:rPr>
          <w:rFonts w:cs="Times New Roman"/>
          <w:b/>
          <w:bCs/>
          <w:noProof/>
          <w:szCs w:val="24"/>
        </w:rPr>
        <w:t>2010</w:t>
      </w:r>
      <w:r w:rsidRPr="00A02BDC">
        <w:rPr>
          <w:rFonts w:cs="Times New Roman"/>
          <w:noProof/>
          <w:szCs w:val="24"/>
        </w:rPr>
        <w:t xml:space="preserve">, </w:t>
      </w:r>
      <w:r w:rsidRPr="00A02BDC">
        <w:rPr>
          <w:rFonts w:cs="Times New Roman"/>
          <w:i/>
          <w:iCs/>
          <w:noProof/>
          <w:szCs w:val="24"/>
        </w:rPr>
        <w:t>66</w:t>
      </w:r>
      <w:r w:rsidRPr="00A02BDC">
        <w:rPr>
          <w:rFonts w:cs="Times New Roman"/>
          <w:noProof/>
          <w:szCs w:val="24"/>
        </w:rPr>
        <w:t>, 125–132.</w:t>
      </w:r>
    </w:p>
    <w:p w14:paraId="218A3E8C"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[47]</w:t>
      </w:r>
      <w:r w:rsidRPr="00A02BDC">
        <w:rPr>
          <w:rFonts w:cs="Times New Roman"/>
          <w:noProof/>
          <w:szCs w:val="24"/>
        </w:rPr>
        <w:tab/>
        <w:t xml:space="preserve">A. Tickle, I.J., Flensburg, C., Keller, P., Paciorek, W., Sharff, G. Vonrhein, C., Bricogne, </w:t>
      </w:r>
      <w:r w:rsidRPr="00A02BDC">
        <w:rPr>
          <w:rFonts w:cs="Times New Roman"/>
          <w:b/>
          <w:bCs/>
          <w:noProof/>
          <w:szCs w:val="24"/>
        </w:rPr>
        <w:t>n.d.</w:t>
      </w:r>
    </w:p>
    <w:p w14:paraId="4F8E486A"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[48]</w:t>
      </w:r>
      <w:r w:rsidRPr="00A02BDC">
        <w:rPr>
          <w:rFonts w:cs="Times New Roman"/>
          <w:noProof/>
          <w:szCs w:val="24"/>
        </w:rPr>
        <w:tab/>
        <w:t xml:space="preserve">A. Vagin, A. Teplyakov, </w:t>
      </w:r>
      <w:r w:rsidRPr="00A02BDC">
        <w:rPr>
          <w:rFonts w:cs="Times New Roman"/>
          <w:i/>
          <w:iCs/>
          <w:noProof/>
          <w:szCs w:val="24"/>
        </w:rPr>
        <w:t>J. Appl. Crystallogr.</w:t>
      </w:r>
      <w:r w:rsidRPr="00A02BDC">
        <w:rPr>
          <w:rFonts w:cs="Times New Roman"/>
          <w:noProof/>
          <w:szCs w:val="24"/>
        </w:rPr>
        <w:t xml:space="preserve"> </w:t>
      </w:r>
      <w:r w:rsidRPr="00A02BDC">
        <w:rPr>
          <w:rFonts w:cs="Times New Roman"/>
          <w:b/>
          <w:bCs/>
          <w:noProof/>
          <w:szCs w:val="24"/>
        </w:rPr>
        <w:t>1997</w:t>
      </w:r>
      <w:r w:rsidRPr="00A02BDC">
        <w:rPr>
          <w:rFonts w:cs="Times New Roman"/>
          <w:noProof/>
          <w:szCs w:val="24"/>
        </w:rPr>
        <w:t xml:space="preserve">, </w:t>
      </w:r>
      <w:r w:rsidRPr="00A02BDC">
        <w:rPr>
          <w:rFonts w:cs="Times New Roman"/>
          <w:i/>
          <w:iCs/>
          <w:noProof/>
          <w:szCs w:val="24"/>
        </w:rPr>
        <w:t>30</w:t>
      </w:r>
      <w:r w:rsidRPr="00A02BDC">
        <w:rPr>
          <w:rFonts w:cs="Times New Roman"/>
          <w:noProof/>
          <w:szCs w:val="24"/>
        </w:rPr>
        <w:t>, 1022–1025.</w:t>
      </w:r>
    </w:p>
    <w:p w14:paraId="207CF642"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[49]</w:t>
      </w:r>
      <w:r w:rsidRPr="00A02BDC">
        <w:rPr>
          <w:rFonts w:cs="Times New Roman"/>
          <w:noProof/>
          <w:szCs w:val="24"/>
        </w:rPr>
        <w:tab/>
        <w:t xml:space="preserve">N. Hassan, T.-H. Nguyen, M. Intanon, L. D. Kori, B. K. C. Patel, D. Haltrich, C. Divne, T. C. Tan, </w:t>
      </w:r>
      <w:r w:rsidRPr="00A02BDC">
        <w:rPr>
          <w:rFonts w:cs="Times New Roman"/>
          <w:i/>
          <w:iCs/>
          <w:noProof/>
          <w:szCs w:val="24"/>
        </w:rPr>
        <w:t>Appl. Microbiol. Biotechnol.</w:t>
      </w:r>
      <w:r w:rsidRPr="00A02BDC">
        <w:rPr>
          <w:rFonts w:cs="Times New Roman"/>
          <w:noProof/>
          <w:szCs w:val="24"/>
        </w:rPr>
        <w:t xml:space="preserve"> </w:t>
      </w:r>
      <w:r w:rsidRPr="00A02BDC">
        <w:rPr>
          <w:rFonts w:cs="Times New Roman"/>
          <w:b/>
          <w:bCs/>
          <w:noProof/>
          <w:szCs w:val="24"/>
        </w:rPr>
        <w:t>2015</w:t>
      </w:r>
      <w:r w:rsidRPr="00A02BDC">
        <w:rPr>
          <w:rFonts w:cs="Times New Roman"/>
          <w:noProof/>
          <w:szCs w:val="24"/>
        </w:rPr>
        <w:t xml:space="preserve">, </w:t>
      </w:r>
      <w:r w:rsidRPr="00A02BDC">
        <w:rPr>
          <w:rFonts w:cs="Times New Roman"/>
          <w:i/>
          <w:iCs/>
          <w:noProof/>
          <w:szCs w:val="24"/>
        </w:rPr>
        <w:t>99</w:t>
      </w:r>
      <w:r w:rsidRPr="00A02BDC">
        <w:rPr>
          <w:rFonts w:cs="Times New Roman"/>
          <w:noProof/>
          <w:szCs w:val="24"/>
        </w:rPr>
        <w:t>, 1731–1744.</w:t>
      </w:r>
    </w:p>
    <w:p w14:paraId="74FFFD18"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[50]</w:t>
      </w:r>
      <w:r w:rsidRPr="00A02BDC">
        <w:rPr>
          <w:rFonts w:cs="Times New Roman"/>
          <w:noProof/>
          <w:szCs w:val="24"/>
        </w:rPr>
        <w:tab/>
        <w:t xml:space="preserve">P. Emsley, K. Cowtan, </w:t>
      </w:r>
      <w:r w:rsidRPr="00A02BDC">
        <w:rPr>
          <w:rFonts w:cs="Times New Roman"/>
          <w:i/>
          <w:iCs/>
          <w:noProof/>
          <w:szCs w:val="24"/>
        </w:rPr>
        <w:t>Acta Crystallogr. Sect. D. Biol. Crystallogr.</w:t>
      </w:r>
      <w:r w:rsidRPr="00A02BDC">
        <w:rPr>
          <w:rFonts w:cs="Times New Roman"/>
          <w:noProof/>
          <w:szCs w:val="24"/>
        </w:rPr>
        <w:t xml:space="preserve"> </w:t>
      </w:r>
      <w:r w:rsidRPr="00A02BDC">
        <w:rPr>
          <w:rFonts w:cs="Times New Roman"/>
          <w:b/>
          <w:bCs/>
          <w:noProof/>
          <w:szCs w:val="24"/>
        </w:rPr>
        <w:t>2004</w:t>
      </w:r>
      <w:r w:rsidRPr="00A02BDC">
        <w:rPr>
          <w:rFonts w:cs="Times New Roman"/>
          <w:noProof/>
          <w:szCs w:val="24"/>
        </w:rPr>
        <w:t xml:space="preserve">, </w:t>
      </w:r>
      <w:r w:rsidRPr="00A02BDC">
        <w:rPr>
          <w:rFonts w:cs="Times New Roman"/>
          <w:i/>
          <w:iCs/>
          <w:noProof/>
          <w:szCs w:val="24"/>
        </w:rPr>
        <w:t>60</w:t>
      </w:r>
      <w:r w:rsidRPr="00A02BDC">
        <w:rPr>
          <w:rFonts w:cs="Times New Roman"/>
          <w:noProof/>
          <w:szCs w:val="24"/>
        </w:rPr>
        <w:t>, 2126–2132.</w:t>
      </w:r>
    </w:p>
    <w:p w14:paraId="1B9D67A0"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[51]</w:t>
      </w:r>
      <w:r w:rsidRPr="00A02BDC">
        <w:rPr>
          <w:rFonts w:cs="Times New Roman"/>
          <w:noProof/>
          <w:szCs w:val="24"/>
        </w:rPr>
        <w:tab/>
        <w:t xml:space="preserve">P. D. Adams, P. V. Afonine, G. Bunkóczi, V. B. Chen, I. W. Davis, N. Echols, J. J. Headd, </w:t>
      </w:r>
      <w:r w:rsidRPr="00A02BDC">
        <w:rPr>
          <w:rFonts w:cs="Times New Roman"/>
          <w:noProof/>
          <w:szCs w:val="24"/>
        </w:rPr>
        <w:lastRenderedPageBreak/>
        <w:t xml:space="preserve">L. W. Hung, G. J. Kapral, R. W. Grosse-Kunstleve, A. J. McCoy, N. W. Moriarty, R. Oeffner, R. J. Read, D. C. Richardson, J. S. Richardson, T. C. Terwilliger, P. H. Zwart, </w:t>
      </w:r>
      <w:r w:rsidRPr="00A02BDC">
        <w:rPr>
          <w:rFonts w:cs="Times New Roman"/>
          <w:i/>
          <w:iCs/>
          <w:noProof/>
          <w:szCs w:val="24"/>
        </w:rPr>
        <w:t>Acta Crystallogr. Sect. D. Biol. Crystallogr.</w:t>
      </w:r>
      <w:r w:rsidRPr="00A02BDC">
        <w:rPr>
          <w:rFonts w:cs="Times New Roman"/>
          <w:noProof/>
          <w:szCs w:val="24"/>
        </w:rPr>
        <w:t xml:space="preserve"> </w:t>
      </w:r>
      <w:r w:rsidRPr="00A02BDC">
        <w:rPr>
          <w:rFonts w:cs="Times New Roman"/>
          <w:b/>
          <w:bCs/>
          <w:noProof/>
          <w:szCs w:val="24"/>
        </w:rPr>
        <w:t>2010</w:t>
      </w:r>
      <w:r w:rsidRPr="00A02BDC">
        <w:rPr>
          <w:rFonts w:cs="Times New Roman"/>
          <w:noProof/>
          <w:szCs w:val="24"/>
        </w:rPr>
        <w:t xml:space="preserve">, </w:t>
      </w:r>
      <w:r w:rsidRPr="00A02BDC">
        <w:rPr>
          <w:rFonts w:cs="Times New Roman"/>
          <w:i/>
          <w:iCs/>
          <w:noProof/>
          <w:szCs w:val="24"/>
        </w:rPr>
        <w:t>66</w:t>
      </w:r>
      <w:r w:rsidRPr="00A02BDC">
        <w:rPr>
          <w:rFonts w:cs="Times New Roman"/>
          <w:noProof/>
          <w:szCs w:val="24"/>
        </w:rPr>
        <w:t>, 213–221.</w:t>
      </w:r>
    </w:p>
    <w:p w14:paraId="009D19CE"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[52]</w:t>
      </w:r>
      <w:r w:rsidRPr="00A02BDC">
        <w:rPr>
          <w:rFonts w:cs="Times New Roman"/>
          <w:noProof/>
          <w:szCs w:val="24"/>
        </w:rPr>
        <w:tab/>
        <w:t xml:space="preserve">T. O. Bricogne, G; Blanc, E; Brandl, M; Flensburg, C; Keller, P; Paciorek, W; Roversi, P; Sharff, A; Smart, O.S; Vonrhein, C; Womack, </w:t>
      </w:r>
      <w:r w:rsidRPr="00A02BDC">
        <w:rPr>
          <w:rFonts w:cs="Times New Roman"/>
          <w:b/>
          <w:bCs/>
          <w:noProof/>
          <w:szCs w:val="24"/>
        </w:rPr>
        <w:t>2017</w:t>
      </w:r>
      <w:r w:rsidRPr="00A02BDC">
        <w:rPr>
          <w:rFonts w:cs="Times New Roman"/>
          <w:noProof/>
          <w:szCs w:val="24"/>
        </w:rPr>
        <w:t>.</w:t>
      </w:r>
    </w:p>
    <w:p w14:paraId="25F39B8D" w14:textId="77777777" w:rsidR="00881F49" w:rsidRPr="00A02BDC" w:rsidRDefault="00881F49" w:rsidP="00881F49">
      <w:pPr>
        <w:widowControl w:val="0"/>
        <w:autoSpaceDE w:val="0"/>
        <w:autoSpaceDN w:val="0"/>
        <w:adjustRightInd w:val="0"/>
        <w:ind w:left="640" w:hanging="640"/>
        <w:rPr>
          <w:rFonts w:cs="Times New Roman"/>
          <w:noProof/>
          <w:szCs w:val="24"/>
        </w:rPr>
      </w:pPr>
      <w:r w:rsidRPr="00A02BDC">
        <w:rPr>
          <w:rFonts w:cs="Times New Roman"/>
          <w:noProof/>
          <w:szCs w:val="24"/>
        </w:rPr>
        <w:t>[53]</w:t>
      </w:r>
      <w:r w:rsidRPr="00A02BDC">
        <w:rPr>
          <w:rFonts w:cs="Times New Roman"/>
          <w:noProof/>
          <w:szCs w:val="24"/>
        </w:rPr>
        <w:tab/>
        <w:t xml:space="preserve">G. Langer, S. X. Cohen, V. S. Lamzin, A. Perrakis, </w:t>
      </w:r>
      <w:r w:rsidRPr="00A02BDC">
        <w:rPr>
          <w:rFonts w:cs="Times New Roman"/>
          <w:i/>
          <w:iCs/>
          <w:noProof/>
          <w:szCs w:val="24"/>
        </w:rPr>
        <w:t>Nat. Protoc.</w:t>
      </w:r>
      <w:r w:rsidRPr="00A02BDC">
        <w:rPr>
          <w:rFonts w:cs="Times New Roman"/>
          <w:noProof/>
          <w:szCs w:val="24"/>
        </w:rPr>
        <w:t xml:space="preserve"> </w:t>
      </w:r>
      <w:r w:rsidRPr="00A02BDC">
        <w:rPr>
          <w:rFonts w:cs="Times New Roman"/>
          <w:b/>
          <w:bCs/>
          <w:noProof/>
          <w:szCs w:val="24"/>
        </w:rPr>
        <w:t>2008</w:t>
      </w:r>
      <w:r w:rsidRPr="00A02BDC">
        <w:rPr>
          <w:rFonts w:cs="Times New Roman"/>
          <w:noProof/>
          <w:szCs w:val="24"/>
        </w:rPr>
        <w:t xml:space="preserve">, </w:t>
      </w:r>
      <w:r w:rsidRPr="00A02BDC">
        <w:rPr>
          <w:rFonts w:cs="Times New Roman"/>
          <w:i/>
          <w:iCs/>
          <w:noProof/>
          <w:szCs w:val="24"/>
        </w:rPr>
        <w:t>3</w:t>
      </w:r>
      <w:r w:rsidRPr="00A02BDC">
        <w:rPr>
          <w:rFonts w:cs="Times New Roman"/>
          <w:noProof/>
          <w:szCs w:val="24"/>
        </w:rPr>
        <w:t>, 1171–1179.</w:t>
      </w:r>
    </w:p>
    <w:p w14:paraId="0DA32E0B" w14:textId="77777777" w:rsidR="00881F49" w:rsidRPr="00A02BDC" w:rsidRDefault="00881F49" w:rsidP="00881F49">
      <w:pPr>
        <w:widowControl w:val="0"/>
        <w:autoSpaceDE w:val="0"/>
        <w:autoSpaceDN w:val="0"/>
        <w:adjustRightInd w:val="0"/>
        <w:ind w:left="640" w:hanging="640"/>
        <w:rPr>
          <w:rFonts w:cs="Times New Roman"/>
          <w:noProof/>
        </w:rPr>
      </w:pPr>
      <w:r w:rsidRPr="00A02BDC">
        <w:rPr>
          <w:rFonts w:cs="Times New Roman"/>
          <w:noProof/>
          <w:szCs w:val="24"/>
        </w:rPr>
        <w:t>[54]</w:t>
      </w:r>
      <w:r w:rsidRPr="00A02BDC">
        <w:rPr>
          <w:rFonts w:cs="Times New Roman"/>
          <w:noProof/>
          <w:szCs w:val="24"/>
        </w:rPr>
        <w:tab/>
        <w:t xml:space="preserve">V. B. Chen, W. B. Arendall, J. J. Headd, D. A. Keedy, R. M. Immormino, G. J. Kapral, L. W. Murray, J. S. Richardson, D. C. Richardson, </w:t>
      </w:r>
      <w:r w:rsidRPr="00A02BDC">
        <w:rPr>
          <w:rFonts w:cs="Times New Roman"/>
          <w:i/>
          <w:iCs/>
          <w:noProof/>
          <w:szCs w:val="24"/>
        </w:rPr>
        <w:t>Acta Crystallogr. Sect. D. Biol. Crystallogr.</w:t>
      </w:r>
      <w:r w:rsidRPr="00A02BDC">
        <w:rPr>
          <w:rFonts w:cs="Times New Roman"/>
          <w:noProof/>
          <w:szCs w:val="24"/>
        </w:rPr>
        <w:t xml:space="preserve"> </w:t>
      </w:r>
      <w:r w:rsidRPr="00A02BDC">
        <w:rPr>
          <w:rFonts w:cs="Times New Roman"/>
          <w:b/>
          <w:bCs/>
          <w:noProof/>
          <w:szCs w:val="24"/>
        </w:rPr>
        <w:t>2010</w:t>
      </w:r>
      <w:r w:rsidRPr="00A02BDC">
        <w:rPr>
          <w:rFonts w:cs="Times New Roman"/>
          <w:noProof/>
          <w:szCs w:val="24"/>
        </w:rPr>
        <w:t xml:space="preserve">, </w:t>
      </w:r>
      <w:r w:rsidRPr="00A02BDC">
        <w:rPr>
          <w:rFonts w:cs="Times New Roman"/>
          <w:i/>
          <w:iCs/>
          <w:noProof/>
          <w:szCs w:val="24"/>
        </w:rPr>
        <w:t>66</w:t>
      </w:r>
      <w:r w:rsidRPr="00A02BDC">
        <w:rPr>
          <w:rFonts w:cs="Times New Roman"/>
          <w:noProof/>
          <w:szCs w:val="24"/>
        </w:rPr>
        <w:t>, 12–21.</w:t>
      </w:r>
    </w:p>
    <w:p w14:paraId="71BB1108" w14:textId="40E5E67E" w:rsidR="00F74978" w:rsidRPr="00F74978" w:rsidRDefault="00DF7DCE" w:rsidP="003D7323">
      <w:r w:rsidRPr="00A02BDC">
        <w:fldChar w:fldCharType="end"/>
      </w:r>
    </w:p>
    <w:sectPr w:rsidR="00F74978" w:rsidRPr="00F74978" w:rsidSect="001F19A6">
      <w:footerReference w:type="default" r:id="rId16"/>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84100E" w14:textId="77777777" w:rsidR="008F4910" w:rsidRDefault="008F4910" w:rsidP="003D00AA">
      <w:pPr>
        <w:spacing w:after="0" w:line="240" w:lineRule="auto"/>
      </w:pPr>
      <w:r>
        <w:separator/>
      </w:r>
    </w:p>
  </w:endnote>
  <w:endnote w:type="continuationSeparator" w:id="0">
    <w:p w14:paraId="060D58A0" w14:textId="77777777" w:rsidR="008F4910" w:rsidRDefault="008F4910" w:rsidP="003D0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202157"/>
      <w:docPartObj>
        <w:docPartGallery w:val="Page Numbers (Bottom of Page)"/>
        <w:docPartUnique/>
      </w:docPartObj>
    </w:sdtPr>
    <w:sdtEndPr>
      <w:rPr>
        <w:noProof/>
      </w:rPr>
    </w:sdtEndPr>
    <w:sdtContent>
      <w:p w14:paraId="71604A24" w14:textId="793D7226" w:rsidR="007666C6" w:rsidRDefault="007666C6">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7E93809F" w14:textId="77777777" w:rsidR="007666C6" w:rsidRDefault="007666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B2924" w14:textId="77777777" w:rsidR="008F4910" w:rsidRDefault="008F4910" w:rsidP="003D00AA">
      <w:pPr>
        <w:spacing w:after="0" w:line="240" w:lineRule="auto"/>
      </w:pPr>
      <w:r>
        <w:separator/>
      </w:r>
    </w:p>
  </w:footnote>
  <w:footnote w:type="continuationSeparator" w:id="0">
    <w:p w14:paraId="5571F900" w14:textId="77777777" w:rsidR="008F4910" w:rsidRDefault="008F4910" w:rsidP="003D00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30BB5"/>
    <w:multiLevelType w:val="multilevel"/>
    <w:tmpl w:val="3994674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9B10F01"/>
    <w:multiLevelType w:val="hybridMultilevel"/>
    <w:tmpl w:val="CDD87060"/>
    <w:lvl w:ilvl="0" w:tplc="AA7CCC78">
      <w:start w:val="1"/>
      <w:numFmt w:val="decimal"/>
      <w:lvlText w:val="%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210F6F"/>
    <w:multiLevelType w:val="hybridMultilevel"/>
    <w:tmpl w:val="88406A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E6C3EEF"/>
    <w:multiLevelType w:val="hybridMultilevel"/>
    <w:tmpl w:val="6CBABB70"/>
    <w:lvl w:ilvl="0" w:tplc="498E1F3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0F251BD"/>
    <w:multiLevelType w:val="hybridMultilevel"/>
    <w:tmpl w:val="F6746C36"/>
    <w:lvl w:ilvl="0" w:tplc="527A64FC">
      <w:start w:val="1"/>
      <w:numFmt w:val="decimal"/>
      <w:pStyle w:val="NoSpac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2B53A6F"/>
    <w:multiLevelType w:val="multilevel"/>
    <w:tmpl w:val="3994674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65240D0"/>
    <w:multiLevelType w:val="multilevel"/>
    <w:tmpl w:val="18585AE6"/>
    <w:lvl w:ilvl="0">
      <w:start w:val="1"/>
      <w:numFmt w:val="decimal"/>
      <w:lvlText w:val="%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7BB46E2"/>
    <w:multiLevelType w:val="multilevel"/>
    <w:tmpl w:val="42205256"/>
    <w:lvl w:ilvl="0">
      <w:start w:val="1"/>
      <w:numFmt w:val="decimal"/>
      <w:lvlText w:val="%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729F10E8"/>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7D352096"/>
    <w:multiLevelType w:val="multilevel"/>
    <w:tmpl w:val="3994674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3"/>
  </w:num>
  <w:num w:numId="3">
    <w:abstractNumId w:val="4"/>
  </w:num>
  <w:num w:numId="4">
    <w:abstractNumId w:val="1"/>
  </w:num>
  <w:num w:numId="5">
    <w:abstractNumId w:val="7"/>
  </w:num>
  <w:num w:numId="6">
    <w:abstractNumId w:val="6"/>
  </w:num>
  <w:num w:numId="7">
    <w:abstractNumId w:val="0"/>
  </w:num>
  <w:num w:numId="8">
    <w:abstractNumId w:val="9"/>
  </w:num>
  <w:num w:numId="9">
    <w:abstractNumId w:val="5"/>
  </w:num>
  <w:num w:numId="10">
    <w:abstractNumId w:val="8"/>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8"/>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D34"/>
    <w:rsid w:val="000029A1"/>
    <w:rsid w:val="00005916"/>
    <w:rsid w:val="00006DA9"/>
    <w:rsid w:val="00012284"/>
    <w:rsid w:val="00012B41"/>
    <w:rsid w:val="00013B21"/>
    <w:rsid w:val="00016B98"/>
    <w:rsid w:val="00016EE9"/>
    <w:rsid w:val="00020C54"/>
    <w:rsid w:val="00022CB1"/>
    <w:rsid w:val="0003235B"/>
    <w:rsid w:val="00035541"/>
    <w:rsid w:val="000456CF"/>
    <w:rsid w:val="000458FA"/>
    <w:rsid w:val="00045C68"/>
    <w:rsid w:val="00046F2A"/>
    <w:rsid w:val="00047933"/>
    <w:rsid w:val="00052D8E"/>
    <w:rsid w:val="00056927"/>
    <w:rsid w:val="00056B2B"/>
    <w:rsid w:val="0006121E"/>
    <w:rsid w:val="000633D5"/>
    <w:rsid w:val="00065287"/>
    <w:rsid w:val="00065D0F"/>
    <w:rsid w:val="0006758A"/>
    <w:rsid w:val="00070AA3"/>
    <w:rsid w:val="00071C36"/>
    <w:rsid w:val="0008075F"/>
    <w:rsid w:val="000827D6"/>
    <w:rsid w:val="0008435A"/>
    <w:rsid w:val="000857E2"/>
    <w:rsid w:val="00087A54"/>
    <w:rsid w:val="0009014B"/>
    <w:rsid w:val="00092FC2"/>
    <w:rsid w:val="00095CB5"/>
    <w:rsid w:val="000A0956"/>
    <w:rsid w:val="000A36D9"/>
    <w:rsid w:val="000B005B"/>
    <w:rsid w:val="000B51E1"/>
    <w:rsid w:val="000C3AB6"/>
    <w:rsid w:val="000C59D5"/>
    <w:rsid w:val="000C6CC3"/>
    <w:rsid w:val="000D23BD"/>
    <w:rsid w:val="000D25E5"/>
    <w:rsid w:val="000D6F9E"/>
    <w:rsid w:val="000E0D18"/>
    <w:rsid w:val="000E100B"/>
    <w:rsid w:val="000E1A8A"/>
    <w:rsid w:val="000E2B7B"/>
    <w:rsid w:val="000E525D"/>
    <w:rsid w:val="000E5D82"/>
    <w:rsid w:val="000E64BA"/>
    <w:rsid w:val="000E7168"/>
    <w:rsid w:val="000F1722"/>
    <w:rsid w:val="000F3B60"/>
    <w:rsid w:val="000F41CF"/>
    <w:rsid w:val="00100049"/>
    <w:rsid w:val="001031AF"/>
    <w:rsid w:val="001064BD"/>
    <w:rsid w:val="00106B99"/>
    <w:rsid w:val="001101C4"/>
    <w:rsid w:val="00111C50"/>
    <w:rsid w:val="00112457"/>
    <w:rsid w:val="0011500F"/>
    <w:rsid w:val="001219FE"/>
    <w:rsid w:val="00121A17"/>
    <w:rsid w:val="00122947"/>
    <w:rsid w:val="00122E32"/>
    <w:rsid w:val="00124F03"/>
    <w:rsid w:val="00126F15"/>
    <w:rsid w:val="00134118"/>
    <w:rsid w:val="001360A9"/>
    <w:rsid w:val="00136845"/>
    <w:rsid w:val="001373DD"/>
    <w:rsid w:val="00141175"/>
    <w:rsid w:val="001421A2"/>
    <w:rsid w:val="00143B49"/>
    <w:rsid w:val="00144AF2"/>
    <w:rsid w:val="00145DCF"/>
    <w:rsid w:val="00147E1F"/>
    <w:rsid w:val="00161EBB"/>
    <w:rsid w:val="00162406"/>
    <w:rsid w:val="00162685"/>
    <w:rsid w:val="0016596E"/>
    <w:rsid w:val="00165DCA"/>
    <w:rsid w:val="00167844"/>
    <w:rsid w:val="0017089A"/>
    <w:rsid w:val="00175F51"/>
    <w:rsid w:val="0018091C"/>
    <w:rsid w:val="0018266C"/>
    <w:rsid w:val="00185B49"/>
    <w:rsid w:val="001870CA"/>
    <w:rsid w:val="001906BA"/>
    <w:rsid w:val="00196A3B"/>
    <w:rsid w:val="001A06DD"/>
    <w:rsid w:val="001A0C00"/>
    <w:rsid w:val="001A52EB"/>
    <w:rsid w:val="001B2772"/>
    <w:rsid w:val="001B2F60"/>
    <w:rsid w:val="001B37D9"/>
    <w:rsid w:val="001B3EAD"/>
    <w:rsid w:val="001B5EC4"/>
    <w:rsid w:val="001B623E"/>
    <w:rsid w:val="001C5C66"/>
    <w:rsid w:val="001D5AD5"/>
    <w:rsid w:val="001D5E06"/>
    <w:rsid w:val="001D6362"/>
    <w:rsid w:val="001D7E02"/>
    <w:rsid w:val="001E3139"/>
    <w:rsid w:val="001E3223"/>
    <w:rsid w:val="001E576A"/>
    <w:rsid w:val="001E5FC4"/>
    <w:rsid w:val="001F002A"/>
    <w:rsid w:val="001F0E17"/>
    <w:rsid w:val="001F19A6"/>
    <w:rsid w:val="001F32AA"/>
    <w:rsid w:val="001F5332"/>
    <w:rsid w:val="001F580F"/>
    <w:rsid w:val="001F5A94"/>
    <w:rsid w:val="00200F99"/>
    <w:rsid w:val="0020269E"/>
    <w:rsid w:val="002036E0"/>
    <w:rsid w:val="00203B30"/>
    <w:rsid w:val="00203CC3"/>
    <w:rsid w:val="00204BEA"/>
    <w:rsid w:val="00210C7C"/>
    <w:rsid w:val="002120D2"/>
    <w:rsid w:val="0021455F"/>
    <w:rsid w:val="00217400"/>
    <w:rsid w:val="00220129"/>
    <w:rsid w:val="0022392C"/>
    <w:rsid w:val="00231BFF"/>
    <w:rsid w:val="0023624F"/>
    <w:rsid w:val="00242679"/>
    <w:rsid w:val="0024321F"/>
    <w:rsid w:val="00243897"/>
    <w:rsid w:val="00244BE8"/>
    <w:rsid w:val="00246270"/>
    <w:rsid w:val="002500B7"/>
    <w:rsid w:val="00253110"/>
    <w:rsid w:val="0025317D"/>
    <w:rsid w:val="00253F89"/>
    <w:rsid w:val="002567CB"/>
    <w:rsid w:val="0025728D"/>
    <w:rsid w:val="00262DCA"/>
    <w:rsid w:val="00265E27"/>
    <w:rsid w:val="00266887"/>
    <w:rsid w:val="0027304D"/>
    <w:rsid w:val="00273A0C"/>
    <w:rsid w:val="00276CA1"/>
    <w:rsid w:val="0028037F"/>
    <w:rsid w:val="00282235"/>
    <w:rsid w:val="00283F86"/>
    <w:rsid w:val="00285777"/>
    <w:rsid w:val="00293C36"/>
    <w:rsid w:val="00293C62"/>
    <w:rsid w:val="00294422"/>
    <w:rsid w:val="00294F5D"/>
    <w:rsid w:val="002963D9"/>
    <w:rsid w:val="00297EC3"/>
    <w:rsid w:val="002A0C48"/>
    <w:rsid w:val="002A0EF7"/>
    <w:rsid w:val="002A2880"/>
    <w:rsid w:val="002A4D86"/>
    <w:rsid w:val="002B13D0"/>
    <w:rsid w:val="002B1F0F"/>
    <w:rsid w:val="002B1F40"/>
    <w:rsid w:val="002B2427"/>
    <w:rsid w:val="002B273B"/>
    <w:rsid w:val="002B78D7"/>
    <w:rsid w:val="002C0B61"/>
    <w:rsid w:val="002C4F5B"/>
    <w:rsid w:val="002D26E9"/>
    <w:rsid w:val="002D62D1"/>
    <w:rsid w:val="002D69F5"/>
    <w:rsid w:val="002D6C45"/>
    <w:rsid w:val="002D79DA"/>
    <w:rsid w:val="002E1BEA"/>
    <w:rsid w:val="002E4D47"/>
    <w:rsid w:val="002E59A0"/>
    <w:rsid w:val="002F0AAE"/>
    <w:rsid w:val="002F2511"/>
    <w:rsid w:val="002F2F30"/>
    <w:rsid w:val="002F6ED1"/>
    <w:rsid w:val="00303B81"/>
    <w:rsid w:val="00311C5B"/>
    <w:rsid w:val="003203ED"/>
    <w:rsid w:val="003222D9"/>
    <w:rsid w:val="00322C4D"/>
    <w:rsid w:val="00322EBB"/>
    <w:rsid w:val="003320C7"/>
    <w:rsid w:val="0033503B"/>
    <w:rsid w:val="0033799F"/>
    <w:rsid w:val="003403C9"/>
    <w:rsid w:val="0034186B"/>
    <w:rsid w:val="003444CD"/>
    <w:rsid w:val="003451A2"/>
    <w:rsid w:val="003472D5"/>
    <w:rsid w:val="00350C4D"/>
    <w:rsid w:val="00350DE4"/>
    <w:rsid w:val="003525E1"/>
    <w:rsid w:val="00353E35"/>
    <w:rsid w:val="0035405E"/>
    <w:rsid w:val="00356B97"/>
    <w:rsid w:val="00356FEA"/>
    <w:rsid w:val="00357CF4"/>
    <w:rsid w:val="00360445"/>
    <w:rsid w:val="00361FA2"/>
    <w:rsid w:val="003639E6"/>
    <w:rsid w:val="00365F18"/>
    <w:rsid w:val="00371766"/>
    <w:rsid w:val="00371FCA"/>
    <w:rsid w:val="0037362A"/>
    <w:rsid w:val="0038158E"/>
    <w:rsid w:val="00382BCB"/>
    <w:rsid w:val="00391028"/>
    <w:rsid w:val="00391892"/>
    <w:rsid w:val="0039281D"/>
    <w:rsid w:val="00394222"/>
    <w:rsid w:val="003A0C2E"/>
    <w:rsid w:val="003A2073"/>
    <w:rsid w:val="003A2BF4"/>
    <w:rsid w:val="003A3A3B"/>
    <w:rsid w:val="003A572A"/>
    <w:rsid w:val="003A5A8B"/>
    <w:rsid w:val="003A5D9B"/>
    <w:rsid w:val="003B0080"/>
    <w:rsid w:val="003B12B7"/>
    <w:rsid w:val="003C31E2"/>
    <w:rsid w:val="003C3777"/>
    <w:rsid w:val="003C6003"/>
    <w:rsid w:val="003C7AAA"/>
    <w:rsid w:val="003D00AA"/>
    <w:rsid w:val="003D142D"/>
    <w:rsid w:val="003D1AFD"/>
    <w:rsid w:val="003D35BB"/>
    <w:rsid w:val="003D36FF"/>
    <w:rsid w:val="003D3E39"/>
    <w:rsid w:val="003D474B"/>
    <w:rsid w:val="003D4804"/>
    <w:rsid w:val="003D63C7"/>
    <w:rsid w:val="003D6BE1"/>
    <w:rsid w:val="003D6F69"/>
    <w:rsid w:val="003D7323"/>
    <w:rsid w:val="003E18EA"/>
    <w:rsid w:val="003E193C"/>
    <w:rsid w:val="003E1EE8"/>
    <w:rsid w:val="003E2BBC"/>
    <w:rsid w:val="003E4C14"/>
    <w:rsid w:val="003E6AF0"/>
    <w:rsid w:val="003E7394"/>
    <w:rsid w:val="003E7E94"/>
    <w:rsid w:val="003F041B"/>
    <w:rsid w:val="003F0ECB"/>
    <w:rsid w:val="003F207B"/>
    <w:rsid w:val="003F3256"/>
    <w:rsid w:val="003F3A26"/>
    <w:rsid w:val="003F438E"/>
    <w:rsid w:val="003F48A7"/>
    <w:rsid w:val="003F58F2"/>
    <w:rsid w:val="003F612A"/>
    <w:rsid w:val="003F6CFA"/>
    <w:rsid w:val="0040039A"/>
    <w:rsid w:val="0040047D"/>
    <w:rsid w:val="00404306"/>
    <w:rsid w:val="00404789"/>
    <w:rsid w:val="00405727"/>
    <w:rsid w:val="00407A90"/>
    <w:rsid w:val="00413BF9"/>
    <w:rsid w:val="00417111"/>
    <w:rsid w:val="00420BAA"/>
    <w:rsid w:val="0042148A"/>
    <w:rsid w:val="00423364"/>
    <w:rsid w:val="004239E9"/>
    <w:rsid w:val="004247F9"/>
    <w:rsid w:val="00430B57"/>
    <w:rsid w:val="00432E2E"/>
    <w:rsid w:val="004421A9"/>
    <w:rsid w:val="00444730"/>
    <w:rsid w:val="0045428D"/>
    <w:rsid w:val="004562B1"/>
    <w:rsid w:val="004575CD"/>
    <w:rsid w:val="004639D8"/>
    <w:rsid w:val="0046536B"/>
    <w:rsid w:val="004703CA"/>
    <w:rsid w:val="00473408"/>
    <w:rsid w:val="00476CD9"/>
    <w:rsid w:val="00476DBA"/>
    <w:rsid w:val="00477378"/>
    <w:rsid w:val="00480E1C"/>
    <w:rsid w:val="00482608"/>
    <w:rsid w:val="004828F8"/>
    <w:rsid w:val="004829A1"/>
    <w:rsid w:val="0048627F"/>
    <w:rsid w:val="00486E42"/>
    <w:rsid w:val="004875C8"/>
    <w:rsid w:val="004903BA"/>
    <w:rsid w:val="004923C2"/>
    <w:rsid w:val="0049285B"/>
    <w:rsid w:val="004933E1"/>
    <w:rsid w:val="004935C3"/>
    <w:rsid w:val="00493FDE"/>
    <w:rsid w:val="00494B23"/>
    <w:rsid w:val="004A0186"/>
    <w:rsid w:val="004A1364"/>
    <w:rsid w:val="004A2FCA"/>
    <w:rsid w:val="004C15F8"/>
    <w:rsid w:val="004C1612"/>
    <w:rsid w:val="004C30E2"/>
    <w:rsid w:val="004C6E4D"/>
    <w:rsid w:val="004D0470"/>
    <w:rsid w:val="004D0E32"/>
    <w:rsid w:val="004D17D8"/>
    <w:rsid w:val="004D221E"/>
    <w:rsid w:val="004D2280"/>
    <w:rsid w:val="004D2D0A"/>
    <w:rsid w:val="004D5DD2"/>
    <w:rsid w:val="004D6E46"/>
    <w:rsid w:val="004F0221"/>
    <w:rsid w:val="004F067D"/>
    <w:rsid w:val="004F0E91"/>
    <w:rsid w:val="004F2367"/>
    <w:rsid w:val="004F5155"/>
    <w:rsid w:val="004F53D9"/>
    <w:rsid w:val="00500F46"/>
    <w:rsid w:val="00503BA6"/>
    <w:rsid w:val="0050432F"/>
    <w:rsid w:val="0050710B"/>
    <w:rsid w:val="00511A18"/>
    <w:rsid w:val="00511ACE"/>
    <w:rsid w:val="005120C5"/>
    <w:rsid w:val="00512CF1"/>
    <w:rsid w:val="00513C77"/>
    <w:rsid w:val="005149A9"/>
    <w:rsid w:val="00522C2D"/>
    <w:rsid w:val="005231E0"/>
    <w:rsid w:val="005255C9"/>
    <w:rsid w:val="005257EF"/>
    <w:rsid w:val="00526D47"/>
    <w:rsid w:val="005276EA"/>
    <w:rsid w:val="0052783B"/>
    <w:rsid w:val="005358D7"/>
    <w:rsid w:val="00537BD6"/>
    <w:rsid w:val="00537F31"/>
    <w:rsid w:val="00540EA2"/>
    <w:rsid w:val="005415CD"/>
    <w:rsid w:val="00544AFA"/>
    <w:rsid w:val="005467FD"/>
    <w:rsid w:val="005470BF"/>
    <w:rsid w:val="005472DD"/>
    <w:rsid w:val="0055091F"/>
    <w:rsid w:val="00550FC6"/>
    <w:rsid w:val="00551977"/>
    <w:rsid w:val="00553823"/>
    <w:rsid w:val="00553F06"/>
    <w:rsid w:val="00553F8A"/>
    <w:rsid w:val="00556EDD"/>
    <w:rsid w:val="0056081E"/>
    <w:rsid w:val="005637F8"/>
    <w:rsid w:val="00563F47"/>
    <w:rsid w:val="00565738"/>
    <w:rsid w:val="0056621F"/>
    <w:rsid w:val="0057035E"/>
    <w:rsid w:val="00570A8A"/>
    <w:rsid w:val="005715C5"/>
    <w:rsid w:val="00572749"/>
    <w:rsid w:val="005771A6"/>
    <w:rsid w:val="00580FDF"/>
    <w:rsid w:val="00582574"/>
    <w:rsid w:val="005846AF"/>
    <w:rsid w:val="00585334"/>
    <w:rsid w:val="00586DA5"/>
    <w:rsid w:val="005901E9"/>
    <w:rsid w:val="00592733"/>
    <w:rsid w:val="00592744"/>
    <w:rsid w:val="00593702"/>
    <w:rsid w:val="00593B98"/>
    <w:rsid w:val="005965D4"/>
    <w:rsid w:val="005A0D8D"/>
    <w:rsid w:val="005A34E0"/>
    <w:rsid w:val="005A5D13"/>
    <w:rsid w:val="005A6EE0"/>
    <w:rsid w:val="005B0F2D"/>
    <w:rsid w:val="005B2F5F"/>
    <w:rsid w:val="005B44D8"/>
    <w:rsid w:val="005B50E1"/>
    <w:rsid w:val="005B7D34"/>
    <w:rsid w:val="005C504A"/>
    <w:rsid w:val="005C544B"/>
    <w:rsid w:val="005C61FE"/>
    <w:rsid w:val="005C6F32"/>
    <w:rsid w:val="005D1B2A"/>
    <w:rsid w:val="005D2334"/>
    <w:rsid w:val="005D2AE3"/>
    <w:rsid w:val="005D5E99"/>
    <w:rsid w:val="005E19D3"/>
    <w:rsid w:val="005E5158"/>
    <w:rsid w:val="005E51DB"/>
    <w:rsid w:val="005E524B"/>
    <w:rsid w:val="005E583E"/>
    <w:rsid w:val="005E648C"/>
    <w:rsid w:val="005F09D9"/>
    <w:rsid w:val="005F17CE"/>
    <w:rsid w:val="005F68BF"/>
    <w:rsid w:val="00600E1D"/>
    <w:rsid w:val="00602064"/>
    <w:rsid w:val="006058A5"/>
    <w:rsid w:val="00606CF9"/>
    <w:rsid w:val="006112DB"/>
    <w:rsid w:val="00612EA3"/>
    <w:rsid w:val="006147BB"/>
    <w:rsid w:val="00614D06"/>
    <w:rsid w:val="00616301"/>
    <w:rsid w:val="00617556"/>
    <w:rsid w:val="00620166"/>
    <w:rsid w:val="00620668"/>
    <w:rsid w:val="00620CA2"/>
    <w:rsid w:val="00622DBB"/>
    <w:rsid w:val="006242B3"/>
    <w:rsid w:val="00626828"/>
    <w:rsid w:val="006339C8"/>
    <w:rsid w:val="00633B49"/>
    <w:rsid w:val="00634094"/>
    <w:rsid w:val="006341D1"/>
    <w:rsid w:val="00637ADB"/>
    <w:rsid w:val="00637C9B"/>
    <w:rsid w:val="00637CA7"/>
    <w:rsid w:val="0064303F"/>
    <w:rsid w:val="00645973"/>
    <w:rsid w:val="006512A5"/>
    <w:rsid w:val="00652480"/>
    <w:rsid w:val="006527ED"/>
    <w:rsid w:val="00654167"/>
    <w:rsid w:val="0065417E"/>
    <w:rsid w:val="00655663"/>
    <w:rsid w:val="00655D57"/>
    <w:rsid w:val="006625F8"/>
    <w:rsid w:val="006626DF"/>
    <w:rsid w:val="00664223"/>
    <w:rsid w:val="006656A6"/>
    <w:rsid w:val="00666F30"/>
    <w:rsid w:val="00667CE0"/>
    <w:rsid w:val="00671C66"/>
    <w:rsid w:val="00672FDD"/>
    <w:rsid w:val="006761B6"/>
    <w:rsid w:val="006772E9"/>
    <w:rsid w:val="00681900"/>
    <w:rsid w:val="006822D4"/>
    <w:rsid w:val="006833C4"/>
    <w:rsid w:val="00684552"/>
    <w:rsid w:val="006857F9"/>
    <w:rsid w:val="006864BD"/>
    <w:rsid w:val="00686731"/>
    <w:rsid w:val="00692907"/>
    <w:rsid w:val="00693126"/>
    <w:rsid w:val="00693155"/>
    <w:rsid w:val="00693B90"/>
    <w:rsid w:val="00695CE1"/>
    <w:rsid w:val="006960A4"/>
    <w:rsid w:val="006A0E35"/>
    <w:rsid w:val="006A4C5A"/>
    <w:rsid w:val="006A7285"/>
    <w:rsid w:val="006B36F4"/>
    <w:rsid w:val="006B77BD"/>
    <w:rsid w:val="006B7863"/>
    <w:rsid w:val="006C0EBD"/>
    <w:rsid w:val="006C1226"/>
    <w:rsid w:val="006C4FA5"/>
    <w:rsid w:val="006C57C9"/>
    <w:rsid w:val="006C74AD"/>
    <w:rsid w:val="006D4E50"/>
    <w:rsid w:val="006E06E7"/>
    <w:rsid w:val="006E3260"/>
    <w:rsid w:val="006E3F53"/>
    <w:rsid w:val="006E41AD"/>
    <w:rsid w:val="006E78BF"/>
    <w:rsid w:val="006F19EC"/>
    <w:rsid w:val="006F74A8"/>
    <w:rsid w:val="00701752"/>
    <w:rsid w:val="00704F93"/>
    <w:rsid w:val="007056D2"/>
    <w:rsid w:val="00706C08"/>
    <w:rsid w:val="00710A13"/>
    <w:rsid w:val="00711131"/>
    <w:rsid w:val="007129CE"/>
    <w:rsid w:val="00716635"/>
    <w:rsid w:val="00721597"/>
    <w:rsid w:val="007215D0"/>
    <w:rsid w:val="00721EA4"/>
    <w:rsid w:val="00723C47"/>
    <w:rsid w:val="00726122"/>
    <w:rsid w:val="007261C4"/>
    <w:rsid w:val="00726863"/>
    <w:rsid w:val="00730536"/>
    <w:rsid w:val="0073199E"/>
    <w:rsid w:val="007334AA"/>
    <w:rsid w:val="00734335"/>
    <w:rsid w:val="00736668"/>
    <w:rsid w:val="0073685C"/>
    <w:rsid w:val="00741D6B"/>
    <w:rsid w:val="00742A99"/>
    <w:rsid w:val="007447F7"/>
    <w:rsid w:val="00744CBD"/>
    <w:rsid w:val="0074503D"/>
    <w:rsid w:val="0074526D"/>
    <w:rsid w:val="00745AB1"/>
    <w:rsid w:val="00746118"/>
    <w:rsid w:val="00747040"/>
    <w:rsid w:val="00750A9C"/>
    <w:rsid w:val="00755ADC"/>
    <w:rsid w:val="00756311"/>
    <w:rsid w:val="007569D7"/>
    <w:rsid w:val="007605DA"/>
    <w:rsid w:val="00763956"/>
    <w:rsid w:val="00763A77"/>
    <w:rsid w:val="00763DEA"/>
    <w:rsid w:val="007665CB"/>
    <w:rsid w:val="007666C6"/>
    <w:rsid w:val="007669DF"/>
    <w:rsid w:val="00771709"/>
    <w:rsid w:val="00776D74"/>
    <w:rsid w:val="007779CC"/>
    <w:rsid w:val="00777E56"/>
    <w:rsid w:val="00777F39"/>
    <w:rsid w:val="007833FB"/>
    <w:rsid w:val="007836A4"/>
    <w:rsid w:val="007900C1"/>
    <w:rsid w:val="0079025E"/>
    <w:rsid w:val="007923FD"/>
    <w:rsid w:val="0079526E"/>
    <w:rsid w:val="007A087C"/>
    <w:rsid w:val="007A19D9"/>
    <w:rsid w:val="007A5983"/>
    <w:rsid w:val="007B477C"/>
    <w:rsid w:val="007B4A4F"/>
    <w:rsid w:val="007B7112"/>
    <w:rsid w:val="007C4F5C"/>
    <w:rsid w:val="007C7E34"/>
    <w:rsid w:val="007D114C"/>
    <w:rsid w:val="007D175C"/>
    <w:rsid w:val="007D2B35"/>
    <w:rsid w:val="007D7BF1"/>
    <w:rsid w:val="007D7E5D"/>
    <w:rsid w:val="007E1EFA"/>
    <w:rsid w:val="007E3C99"/>
    <w:rsid w:val="007E6618"/>
    <w:rsid w:val="007E7898"/>
    <w:rsid w:val="007F0EE3"/>
    <w:rsid w:val="007F11BE"/>
    <w:rsid w:val="007F1872"/>
    <w:rsid w:val="007F29CC"/>
    <w:rsid w:val="007F2D33"/>
    <w:rsid w:val="007F3A74"/>
    <w:rsid w:val="007F3EF5"/>
    <w:rsid w:val="007F7997"/>
    <w:rsid w:val="00801593"/>
    <w:rsid w:val="008017C9"/>
    <w:rsid w:val="008030A7"/>
    <w:rsid w:val="00807BDC"/>
    <w:rsid w:val="008104E0"/>
    <w:rsid w:val="00816C28"/>
    <w:rsid w:val="00817B9B"/>
    <w:rsid w:val="00817E1B"/>
    <w:rsid w:val="008215DF"/>
    <w:rsid w:val="008225A8"/>
    <w:rsid w:val="008230F1"/>
    <w:rsid w:val="008237AD"/>
    <w:rsid w:val="00825C64"/>
    <w:rsid w:val="00825CBE"/>
    <w:rsid w:val="008320D0"/>
    <w:rsid w:val="00834467"/>
    <w:rsid w:val="00836483"/>
    <w:rsid w:val="00836E90"/>
    <w:rsid w:val="00837909"/>
    <w:rsid w:val="00844475"/>
    <w:rsid w:val="008448C4"/>
    <w:rsid w:val="00850201"/>
    <w:rsid w:val="00851C4B"/>
    <w:rsid w:val="00852FC5"/>
    <w:rsid w:val="00855AF6"/>
    <w:rsid w:val="00856B29"/>
    <w:rsid w:val="00860521"/>
    <w:rsid w:val="00863DD6"/>
    <w:rsid w:val="00870577"/>
    <w:rsid w:val="008760EC"/>
    <w:rsid w:val="008761E1"/>
    <w:rsid w:val="00876A6A"/>
    <w:rsid w:val="00881F49"/>
    <w:rsid w:val="008840F1"/>
    <w:rsid w:val="008906E7"/>
    <w:rsid w:val="00890F67"/>
    <w:rsid w:val="008A17F3"/>
    <w:rsid w:val="008A1BDD"/>
    <w:rsid w:val="008A23D3"/>
    <w:rsid w:val="008A28E1"/>
    <w:rsid w:val="008A300B"/>
    <w:rsid w:val="008A353E"/>
    <w:rsid w:val="008A6B5F"/>
    <w:rsid w:val="008A6DA8"/>
    <w:rsid w:val="008B1DD3"/>
    <w:rsid w:val="008B2D0E"/>
    <w:rsid w:val="008B3789"/>
    <w:rsid w:val="008B3DC0"/>
    <w:rsid w:val="008B4ED0"/>
    <w:rsid w:val="008B5D77"/>
    <w:rsid w:val="008C189D"/>
    <w:rsid w:val="008C1A3D"/>
    <w:rsid w:val="008C3736"/>
    <w:rsid w:val="008C3889"/>
    <w:rsid w:val="008C4150"/>
    <w:rsid w:val="008C5100"/>
    <w:rsid w:val="008C5A1D"/>
    <w:rsid w:val="008C6638"/>
    <w:rsid w:val="008C768D"/>
    <w:rsid w:val="008D003E"/>
    <w:rsid w:val="008D0EA0"/>
    <w:rsid w:val="008D0FB1"/>
    <w:rsid w:val="008D17FB"/>
    <w:rsid w:val="008D2541"/>
    <w:rsid w:val="008D29BE"/>
    <w:rsid w:val="008D445A"/>
    <w:rsid w:val="008D5ADD"/>
    <w:rsid w:val="008D65D0"/>
    <w:rsid w:val="008E0086"/>
    <w:rsid w:val="008E1829"/>
    <w:rsid w:val="008E21D3"/>
    <w:rsid w:val="008E27F2"/>
    <w:rsid w:val="008E2E36"/>
    <w:rsid w:val="008E39B9"/>
    <w:rsid w:val="008E7FBF"/>
    <w:rsid w:val="008F2BDF"/>
    <w:rsid w:val="008F339F"/>
    <w:rsid w:val="008F4910"/>
    <w:rsid w:val="008F5420"/>
    <w:rsid w:val="008F596E"/>
    <w:rsid w:val="008F6093"/>
    <w:rsid w:val="008F6198"/>
    <w:rsid w:val="008F7FA3"/>
    <w:rsid w:val="00906907"/>
    <w:rsid w:val="00910627"/>
    <w:rsid w:val="00910AD3"/>
    <w:rsid w:val="00914D29"/>
    <w:rsid w:val="009155FD"/>
    <w:rsid w:val="00917ACC"/>
    <w:rsid w:val="00921C45"/>
    <w:rsid w:val="00922965"/>
    <w:rsid w:val="009252AF"/>
    <w:rsid w:val="0093088D"/>
    <w:rsid w:val="009328BF"/>
    <w:rsid w:val="00934BF4"/>
    <w:rsid w:val="00936043"/>
    <w:rsid w:val="0093614A"/>
    <w:rsid w:val="00940170"/>
    <w:rsid w:val="009409D1"/>
    <w:rsid w:val="00941268"/>
    <w:rsid w:val="00942131"/>
    <w:rsid w:val="00944A85"/>
    <w:rsid w:val="009462AF"/>
    <w:rsid w:val="00947E54"/>
    <w:rsid w:val="0095268E"/>
    <w:rsid w:val="00952A42"/>
    <w:rsid w:val="00962AFC"/>
    <w:rsid w:val="00963B8F"/>
    <w:rsid w:val="00965C3B"/>
    <w:rsid w:val="009664D6"/>
    <w:rsid w:val="00966DA6"/>
    <w:rsid w:val="00967E5F"/>
    <w:rsid w:val="00970432"/>
    <w:rsid w:val="00975242"/>
    <w:rsid w:val="00976448"/>
    <w:rsid w:val="009859B2"/>
    <w:rsid w:val="00991899"/>
    <w:rsid w:val="00991B77"/>
    <w:rsid w:val="00992DDB"/>
    <w:rsid w:val="00995A2F"/>
    <w:rsid w:val="00996D30"/>
    <w:rsid w:val="009A0929"/>
    <w:rsid w:val="009A24DE"/>
    <w:rsid w:val="009A3CCE"/>
    <w:rsid w:val="009A49FE"/>
    <w:rsid w:val="009A55F4"/>
    <w:rsid w:val="009B196E"/>
    <w:rsid w:val="009B3CD0"/>
    <w:rsid w:val="009B4A29"/>
    <w:rsid w:val="009B6618"/>
    <w:rsid w:val="009C2644"/>
    <w:rsid w:val="009C2D6E"/>
    <w:rsid w:val="009C41F4"/>
    <w:rsid w:val="009C6CD7"/>
    <w:rsid w:val="009C7383"/>
    <w:rsid w:val="009D3DA6"/>
    <w:rsid w:val="009D42BB"/>
    <w:rsid w:val="009D76F8"/>
    <w:rsid w:val="009E032E"/>
    <w:rsid w:val="009E2537"/>
    <w:rsid w:val="009E595C"/>
    <w:rsid w:val="009E7995"/>
    <w:rsid w:val="009F15BF"/>
    <w:rsid w:val="009F2E0F"/>
    <w:rsid w:val="009F55FF"/>
    <w:rsid w:val="009F5610"/>
    <w:rsid w:val="00A004E8"/>
    <w:rsid w:val="00A01EEE"/>
    <w:rsid w:val="00A02BDC"/>
    <w:rsid w:val="00A05C2C"/>
    <w:rsid w:val="00A0789F"/>
    <w:rsid w:val="00A12811"/>
    <w:rsid w:val="00A12DA4"/>
    <w:rsid w:val="00A1364C"/>
    <w:rsid w:val="00A14785"/>
    <w:rsid w:val="00A14824"/>
    <w:rsid w:val="00A16B9B"/>
    <w:rsid w:val="00A2080C"/>
    <w:rsid w:val="00A21237"/>
    <w:rsid w:val="00A2279D"/>
    <w:rsid w:val="00A27CF1"/>
    <w:rsid w:val="00A3453D"/>
    <w:rsid w:val="00A3460B"/>
    <w:rsid w:val="00A36035"/>
    <w:rsid w:val="00A370FA"/>
    <w:rsid w:val="00A371D8"/>
    <w:rsid w:val="00A402B0"/>
    <w:rsid w:val="00A41E65"/>
    <w:rsid w:val="00A434EE"/>
    <w:rsid w:val="00A445F9"/>
    <w:rsid w:val="00A45445"/>
    <w:rsid w:val="00A47F0B"/>
    <w:rsid w:val="00A55706"/>
    <w:rsid w:val="00A5579B"/>
    <w:rsid w:val="00A55EB2"/>
    <w:rsid w:val="00A56EE0"/>
    <w:rsid w:val="00A57D13"/>
    <w:rsid w:val="00A65F32"/>
    <w:rsid w:val="00A7190B"/>
    <w:rsid w:val="00A71D8B"/>
    <w:rsid w:val="00A722BF"/>
    <w:rsid w:val="00A72D1C"/>
    <w:rsid w:val="00A73259"/>
    <w:rsid w:val="00A73691"/>
    <w:rsid w:val="00A73E01"/>
    <w:rsid w:val="00A7787F"/>
    <w:rsid w:val="00A805E5"/>
    <w:rsid w:val="00A81332"/>
    <w:rsid w:val="00A8311A"/>
    <w:rsid w:val="00A86203"/>
    <w:rsid w:val="00A9402C"/>
    <w:rsid w:val="00A94787"/>
    <w:rsid w:val="00A96000"/>
    <w:rsid w:val="00AA25CE"/>
    <w:rsid w:val="00AA7CA0"/>
    <w:rsid w:val="00AB213E"/>
    <w:rsid w:val="00AB41AD"/>
    <w:rsid w:val="00AB50A8"/>
    <w:rsid w:val="00AB67B8"/>
    <w:rsid w:val="00AB7E3E"/>
    <w:rsid w:val="00AC1529"/>
    <w:rsid w:val="00AC17AD"/>
    <w:rsid w:val="00AC33D4"/>
    <w:rsid w:val="00AC42F4"/>
    <w:rsid w:val="00AD3166"/>
    <w:rsid w:val="00AD7196"/>
    <w:rsid w:val="00AE1D7E"/>
    <w:rsid w:val="00AE2A5C"/>
    <w:rsid w:val="00AE3124"/>
    <w:rsid w:val="00AE4C74"/>
    <w:rsid w:val="00AE59AB"/>
    <w:rsid w:val="00AE6397"/>
    <w:rsid w:val="00AE64DB"/>
    <w:rsid w:val="00AE6952"/>
    <w:rsid w:val="00AE69A4"/>
    <w:rsid w:val="00AF06E7"/>
    <w:rsid w:val="00AF0B57"/>
    <w:rsid w:val="00AF0EA6"/>
    <w:rsid w:val="00AF12AA"/>
    <w:rsid w:val="00AF13A8"/>
    <w:rsid w:val="00AF203B"/>
    <w:rsid w:val="00AF2802"/>
    <w:rsid w:val="00AF2949"/>
    <w:rsid w:val="00AF38ED"/>
    <w:rsid w:val="00AF44D3"/>
    <w:rsid w:val="00AF47EF"/>
    <w:rsid w:val="00AF4C8B"/>
    <w:rsid w:val="00B02C06"/>
    <w:rsid w:val="00B06BAA"/>
    <w:rsid w:val="00B07395"/>
    <w:rsid w:val="00B0758C"/>
    <w:rsid w:val="00B12E4A"/>
    <w:rsid w:val="00B1306C"/>
    <w:rsid w:val="00B24B95"/>
    <w:rsid w:val="00B24FE7"/>
    <w:rsid w:val="00B27351"/>
    <w:rsid w:val="00B30095"/>
    <w:rsid w:val="00B34D02"/>
    <w:rsid w:val="00B3626B"/>
    <w:rsid w:val="00B40A86"/>
    <w:rsid w:val="00B41832"/>
    <w:rsid w:val="00B460DD"/>
    <w:rsid w:val="00B465DA"/>
    <w:rsid w:val="00B47059"/>
    <w:rsid w:val="00B47956"/>
    <w:rsid w:val="00B47EE0"/>
    <w:rsid w:val="00B507AE"/>
    <w:rsid w:val="00B55A6B"/>
    <w:rsid w:val="00B56944"/>
    <w:rsid w:val="00B56B6E"/>
    <w:rsid w:val="00B570CF"/>
    <w:rsid w:val="00B57326"/>
    <w:rsid w:val="00B61AA8"/>
    <w:rsid w:val="00B6260C"/>
    <w:rsid w:val="00B626A5"/>
    <w:rsid w:val="00B63373"/>
    <w:rsid w:val="00B63FC8"/>
    <w:rsid w:val="00B666FC"/>
    <w:rsid w:val="00B71C34"/>
    <w:rsid w:val="00B73605"/>
    <w:rsid w:val="00B80931"/>
    <w:rsid w:val="00B813D7"/>
    <w:rsid w:val="00B830B8"/>
    <w:rsid w:val="00B84835"/>
    <w:rsid w:val="00B8561C"/>
    <w:rsid w:val="00B8630B"/>
    <w:rsid w:val="00B9098F"/>
    <w:rsid w:val="00B91063"/>
    <w:rsid w:val="00B924CF"/>
    <w:rsid w:val="00B95DB3"/>
    <w:rsid w:val="00B96393"/>
    <w:rsid w:val="00B96484"/>
    <w:rsid w:val="00B96793"/>
    <w:rsid w:val="00B97281"/>
    <w:rsid w:val="00BA1E0C"/>
    <w:rsid w:val="00BA229B"/>
    <w:rsid w:val="00BA2F3E"/>
    <w:rsid w:val="00BA4C5A"/>
    <w:rsid w:val="00BA61E5"/>
    <w:rsid w:val="00BA72FB"/>
    <w:rsid w:val="00BB179B"/>
    <w:rsid w:val="00BB1C6F"/>
    <w:rsid w:val="00BB1F2E"/>
    <w:rsid w:val="00BB4B2B"/>
    <w:rsid w:val="00BB638F"/>
    <w:rsid w:val="00BB67B7"/>
    <w:rsid w:val="00BC04BB"/>
    <w:rsid w:val="00BC1C7D"/>
    <w:rsid w:val="00BC2E1F"/>
    <w:rsid w:val="00BC6DBE"/>
    <w:rsid w:val="00BD2F8D"/>
    <w:rsid w:val="00BD3E04"/>
    <w:rsid w:val="00BD4878"/>
    <w:rsid w:val="00BD7446"/>
    <w:rsid w:val="00BD7888"/>
    <w:rsid w:val="00BE3ADB"/>
    <w:rsid w:val="00BE5174"/>
    <w:rsid w:val="00BE518E"/>
    <w:rsid w:val="00BE529A"/>
    <w:rsid w:val="00BE55A8"/>
    <w:rsid w:val="00BE64A3"/>
    <w:rsid w:val="00BE669D"/>
    <w:rsid w:val="00BE7044"/>
    <w:rsid w:val="00BE7A06"/>
    <w:rsid w:val="00BF3796"/>
    <w:rsid w:val="00BF41AE"/>
    <w:rsid w:val="00BF43AD"/>
    <w:rsid w:val="00BF4CA0"/>
    <w:rsid w:val="00BF6EDB"/>
    <w:rsid w:val="00C14150"/>
    <w:rsid w:val="00C21AE3"/>
    <w:rsid w:val="00C21EAF"/>
    <w:rsid w:val="00C22030"/>
    <w:rsid w:val="00C23384"/>
    <w:rsid w:val="00C26EB2"/>
    <w:rsid w:val="00C27F5E"/>
    <w:rsid w:val="00C3192A"/>
    <w:rsid w:val="00C326B3"/>
    <w:rsid w:val="00C32C86"/>
    <w:rsid w:val="00C36CAC"/>
    <w:rsid w:val="00C42A4D"/>
    <w:rsid w:val="00C5010D"/>
    <w:rsid w:val="00C56777"/>
    <w:rsid w:val="00C56820"/>
    <w:rsid w:val="00C62DF6"/>
    <w:rsid w:val="00C66871"/>
    <w:rsid w:val="00C66909"/>
    <w:rsid w:val="00C6726A"/>
    <w:rsid w:val="00C70A7B"/>
    <w:rsid w:val="00C7106F"/>
    <w:rsid w:val="00C77A85"/>
    <w:rsid w:val="00C77B9C"/>
    <w:rsid w:val="00C8085A"/>
    <w:rsid w:val="00C811EB"/>
    <w:rsid w:val="00C81890"/>
    <w:rsid w:val="00C90286"/>
    <w:rsid w:val="00C94E96"/>
    <w:rsid w:val="00C970B6"/>
    <w:rsid w:val="00CA1831"/>
    <w:rsid w:val="00CA32B0"/>
    <w:rsid w:val="00CA6EB7"/>
    <w:rsid w:val="00CB2CE6"/>
    <w:rsid w:val="00CB4BA3"/>
    <w:rsid w:val="00CB4D98"/>
    <w:rsid w:val="00CB69A1"/>
    <w:rsid w:val="00CC1B0B"/>
    <w:rsid w:val="00CC2954"/>
    <w:rsid w:val="00CC4E81"/>
    <w:rsid w:val="00CC55DC"/>
    <w:rsid w:val="00CC723B"/>
    <w:rsid w:val="00CC74D9"/>
    <w:rsid w:val="00CC7D64"/>
    <w:rsid w:val="00CD293A"/>
    <w:rsid w:val="00CD34B0"/>
    <w:rsid w:val="00CD48FF"/>
    <w:rsid w:val="00CD6082"/>
    <w:rsid w:val="00CD615A"/>
    <w:rsid w:val="00CD6C4E"/>
    <w:rsid w:val="00CD6DB0"/>
    <w:rsid w:val="00CD7667"/>
    <w:rsid w:val="00CD7683"/>
    <w:rsid w:val="00CD7CA6"/>
    <w:rsid w:val="00CE0045"/>
    <w:rsid w:val="00CF0165"/>
    <w:rsid w:val="00CF1E7B"/>
    <w:rsid w:val="00CF23FA"/>
    <w:rsid w:val="00CF3428"/>
    <w:rsid w:val="00CF55CA"/>
    <w:rsid w:val="00D00226"/>
    <w:rsid w:val="00D04204"/>
    <w:rsid w:val="00D0530D"/>
    <w:rsid w:val="00D07080"/>
    <w:rsid w:val="00D078E5"/>
    <w:rsid w:val="00D10990"/>
    <w:rsid w:val="00D11532"/>
    <w:rsid w:val="00D20C45"/>
    <w:rsid w:val="00D225C0"/>
    <w:rsid w:val="00D252A0"/>
    <w:rsid w:val="00D26B88"/>
    <w:rsid w:val="00D26F98"/>
    <w:rsid w:val="00D2708F"/>
    <w:rsid w:val="00D27742"/>
    <w:rsid w:val="00D32915"/>
    <w:rsid w:val="00D33EB2"/>
    <w:rsid w:val="00D362C4"/>
    <w:rsid w:val="00D3762A"/>
    <w:rsid w:val="00D37E75"/>
    <w:rsid w:val="00D404FD"/>
    <w:rsid w:val="00D40E2E"/>
    <w:rsid w:val="00D42709"/>
    <w:rsid w:val="00D4358A"/>
    <w:rsid w:val="00D445EC"/>
    <w:rsid w:val="00D53147"/>
    <w:rsid w:val="00D61645"/>
    <w:rsid w:val="00D61A63"/>
    <w:rsid w:val="00D61F2D"/>
    <w:rsid w:val="00D62474"/>
    <w:rsid w:val="00D63BAF"/>
    <w:rsid w:val="00D649B2"/>
    <w:rsid w:val="00D64E16"/>
    <w:rsid w:val="00D655DE"/>
    <w:rsid w:val="00D71454"/>
    <w:rsid w:val="00D71965"/>
    <w:rsid w:val="00D71E74"/>
    <w:rsid w:val="00D722A1"/>
    <w:rsid w:val="00D72571"/>
    <w:rsid w:val="00D741B3"/>
    <w:rsid w:val="00D761C7"/>
    <w:rsid w:val="00D77B79"/>
    <w:rsid w:val="00D800BA"/>
    <w:rsid w:val="00D806F5"/>
    <w:rsid w:val="00D82A97"/>
    <w:rsid w:val="00D9418C"/>
    <w:rsid w:val="00D951D0"/>
    <w:rsid w:val="00D955C1"/>
    <w:rsid w:val="00D95869"/>
    <w:rsid w:val="00D96821"/>
    <w:rsid w:val="00D96E79"/>
    <w:rsid w:val="00D970BA"/>
    <w:rsid w:val="00DA261D"/>
    <w:rsid w:val="00DA2685"/>
    <w:rsid w:val="00DA3282"/>
    <w:rsid w:val="00DA534E"/>
    <w:rsid w:val="00DA6DE1"/>
    <w:rsid w:val="00DA6E89"/>
    <w:rsid w:val="00DA6FDD"/>
    <w:rsid w:val="00DA72CC"/>
    <w:rsid w:val="00DB0C5B"/>
    <w:rsid w:val="00DB1B38"/>
    <w:rsid w:val="00DB3E63"/>
    <w:rsid w:val="00DB56C0"/>
    <w:rsid w:val="00DC285A"/>
    <w:rsid w:val="00DC28F5"/>
    <w:rsid w:val="00DC2B3C"/>
    <w:rsid w:val="00DC329A"/>
    <w:rsid w:val="00DC329D"/>
    <w:rsid w:val="00DC495D"/>
    <w:rsid w:val="00DC4D1D"/>
    <w:rsid w:val="00DC58AB"/>
    <w:rsid w:val="00DC683B"/>
    <w:rsid w:val="00DC69D5"/>
    <w:rsid w:val="00DD5759"/>
    <w:rsid w:val="00DD6702"/>
    <w:rsid w:val="00DD7AF0"/>
    <w:rsid w:val="00DE0667"/>
    <w:rsid w:val="00DE1EB0"/>
    <w:rsid w:val="00DE4040"/>
    <w:rsid w:val="00DE46E9"/>
    <w:rsid w:val="00DE6351"/>
    <w:rsid w:val="00DF0489"/>
    <w:rsid w:val="00DF05D6"/>
    <w:rsid w:val="00DF06ED"/>
    <w:rsid w:val="00DF0E45"/>
    <w:rsid w:val="00DF15BB"/>
    <w:rsid w:val="00DF3E89"/>
    <w:rsid w:val="00DF715F"/>
    <w:rsid w:val="00DF7407"/>
    <w:rsid w:val="00DF7DCE"/>
    <w:rsid w:val="00E00AC7"/>
    <w:rsid w:val="00E00D20"/>
    <w:rsid w:val="00E021BE"/>
    <w:rsid w:val="00E02E2E"/>
    <w:rsid w:val="00E05A10"/>
    <w:rsid w:val="00E129BC"/>
    <w:rsid w:val="00E147B3"/>
    <w:rsid w:val="00E178D1"/>
    <w:rsid w:val="00E20F59"/>
    <w:rsid w:val="00E21183"/>
    <w:rsid w:val="00E22702"/>
    <w:rsid w:val="00E25864"/>
    <w:rsid w:val="00E30347"/>
    <w:rsid w:val="00E35636"/>
    <w:rsid w:val="00E35F8D"/>
    <w:rsid w:val="00E3716C"/>
    <w:rsid w:val="00E37C57"/>
    <w:rsid w:val="00E40555"/>
    <w:rsid w:val="00E40765"/>
    <w:rsid w:val="00E50C78"/>
    <w:rsid w:val="00E515AB"/>
    <w:rsid w:val="00E5161A"/>
    <w:rsid w:val="00E5242B"/>
    <w:rsid w:val="00E54070"/>
    <w:rsid w:val="00E546B9"/>
    <w:rsid w:val="00E6041C"/>
    <w:rsid w:val="00E61BC2"/>
    <w:rsid w:val="00E630AA"/>
    <w:rsid w:val="00E644D0"/>
    <w:rsid w:val="00E677F2"/>
    <w:rsid w:val="00E67B46"/>
    <w:rsid w:val="00E70008"/>
    <w:rsid w:val="00E7256D"/>
    <w:rsid w:val="00E753FA"/>
    <w:rsid w:val="00E75C02"/>
    <w:rsid w:val="00E75EEC"/>
    <w:rsid w:val="00E76373"/>
    <w:rsid w:val="00E775FD"/>
    <w:rsid w:val="00E77CDB"/>
    <w:rsid w:val="00E8115F"/>
    <w:rsid w:val="00E819DF"/>
    <w:rsid w:val="00E854A5"/>
    <w:rsid w:val="00E90119"/>
    <w:rsid w:val="00E909C8"/>
    <w:rsid w:val="00E90AF1"/>
    <w:rsid w:val="00E9133C"/>
    <w:rsid w:val="00E953EC"/>
    <w:rsid w:val="00E95437"/>
    <w:rsid w:val="00E97FCA"/>
    <w:rsid w:val="00EA2663"/>
    <w:rsid w:val="00EA2F45"/>
    <w:rsid w:val="00EA56E7"/>
    <w:rsid w:val="00EA583E"/>
    <w:rsid w:val="00EA6D0B"/>
    <w:rsid w:val="00EB1C60"/>
    <w:rsid w:val="00EB28E6"/>
    <w:rsid w:val="00EB30DB"/>
    <w:rsid w:val="00EB640A"/>
    <w:rsid w:val="00EB658F"/>
    <w:rsid w:val="00EB6B14"/>
    <w:rsid w:val="00EB7873"/>
    <w:rsid w:val="00EC5F02"/>
    <w:rsid w:val="00EC7C1A"/>
    <w:rsid w:val="00ED0A68"/>
    <w:rsid w:val="00ED1102"/>
    <w:rsid w:val="00ED1BBB"/>
    <w:rsid w:val="00ED1CA2"/>
    <w:rsid w:val="00ED2821"/>
    <w:rsid w:val="00ED7456"/>
    <w:rsid w:val="00EE050F"/>
    <w:rsid w:val="00EE6188"/>
    <w:rsid w:val="00EE72F1"/>
    <w:rsid w:val="00EF1E67"/>
    <w:rsid w:val="00EF2C29"/>
    <w:rsid w:val="00EF4234"/>
    <w:rsid w:val="00EF4856"/>
    <w:rsid w:val="00EF553D"/>
    <w:rsid w:val="00EF5FE1"/>
    <w:rsid w:val="00F01E90"/>
    <w:rsid w:val="00F02A9E"/>
    <w:rsid w:val="00F04348"/>
    <w:rsid w:val="00F05EC4"/>
    <w:rsid w:val="00F07C7A"/>
    <w:rsid w:val="00F20142"/>
    <w:rsid w:val="00F22E6E"/>
    <w:rsid w:val="00F23FE0"/>
    <w:rsid w:val="00F31987"/>
    <w:rsid w:val="00F35118"/>
    <w:rsid w:val="00F35370"/>
    <w:rsid w:val="00F35DEC"/>
    <w:rsid w:val="00F36E70"/>
    <w:rsid w:val="00F46A1D"/>
    <w:rsid w:val="00F47571"/>
    <w:rsid w:val="00F54657"/>
    <w:rsid w:val="00F55103"/>
    <w:rsid w:val="00F55CC5"/>
    <w:rsid w:val="00F56B5E"/>
    <w:rsid w:val="00F600DC"/>
    <w:rsid w:val="00F60214"/>
    <w:rsid w:val="00F62BF3"/>
    <w:rsid w:val="00F636BC"/>
    <w:rsid w:val="00F64DAF"/>
    <w:rsid w:val="00F65C63"/>
    <w:rsid w:val="00F66BCF"/>
    <w:rsid w:val="00F67A46"/>
    <w:rsid w:val="00F67FEC"/>
    <w:rsid w:val="00F74978"/>
    <w:rsid w:val="00F76B4A"/>
    <w:rsid w:val="00F776AC"/>
    <w:rsid w:val="00F83396"/>
    <w:rsid w:val="00F864F2"/>
    <w:rsid w:val="00F86A98"/>
    <w:rsid w:val="00F86BF8"/>
    <w:rsid w:val="00F90105"/>
    <w:rsid w:val="00F92983"/>
    <w:rsid w:val="00F93A7C"/>
    <w:rsid w:val="00F93BDD"/>
    <w:rsid w:val="00FA625E"/>
    <w:rsid w:val="00FA6BB8"/>
    <w:rsid w:val="00FA6EF0"/>
    <w:rsid w:val="00FA7ACB"/>
    <w:rsid w:val="00FA7CAE"/>
    <w:rsid w:val="00FB11F0"/>
    <w:rsid w:val="00FB2C7B"/>
    <w:rsid w:val="00FB4D3A"/>
    <w:rsid w:val="00FB5DD3"/>
    <w:rsid w:val="00FB78FA"/>
    <w:rsid w:val="00FC116F"/>
    <w:rsid w:val="00FC43EE"/>
    <w:rsid w:val="00FC671E"/>
    <w:rsid w:val="00FC6F97"/>
    <w:rsid w:val="00FD0E95"/>
    <w:rsid w:val="00FD2046"/>
    <w:rsid w:val="00FD32F3"/>
    <w:rsid w:val="00FD645C"/>
    <w:rsid w:val="00FD782B"/>
    <w:rsid w:val="00FE1FC3"/>
    <w:rsid w:val="00FE209A"/>
    <w:rsid w:val="00FE6450"/>
    <w:rsid w:val="00FF1B5C"/>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720B4"/>
  <w14:defaultImageDpi w14:val="32767"/>
  <w15:docId w15:val="{40B7E930-C068-6A41-947F-62E151648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_trad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683"/>
    <w:pPr>
      <w:spacing w:line="480" w:lineRule="auto"/>
    </w:pPr>
    <w:rPr>
      <w:rFonts w:ascii="Times New Roman" w:hAnsi="Times New Roman"/>
      <w:sz w:val="24"/>
      <w:lang w:val="en-GB"/>
    </w:rPr>
  </w:style>
  <w:style w:type="paragraph" w:styleId="Heading1">
    <w:name w:val="heading 1"/>
    <w:basedOn w:val="Normal"/>
    <w:next w:val="Normal"/>
    <w:link w:val="Heading1Char"/>
    <w:uiPriority w:val="9"/>
    <w:qFormat/>
    <w:rsid w:val="00742A99"/>
    <w:pPr>
      <w:keepNext/>
      <w:keepLines/>
      <w:numPr>
        <w:numId w:val="10"/>
      </w:numPr>
      <w:spacing w:before="720" w:after="240"/>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D806F5"/>
    <w:pPr>
      <w:keepNext/>
      <w:keepLines/>
      <w:numPr>
        <w:ilvl w:val="1"/>
        <w:numId w:val="10"/>
      </w:numPr>
      <w:spacing w:before="100" w:beforeAutospacing="1" w:after="0"/>
      <w:outlineLvl w:val="1"/>
    </w:pPr>
    <w:rPr>
      <w:rFonts w:eastAsiaTheme="majorEastAsia" w:cstheme="majorBidi"/>
      <w:bCs/>
      <w:i/>
      <w:szCs w:val="26"/>
    </w:rPr>
  </w:style>
  <w:style w:type="paragraph" w:styleId="Heading3">
    <w:name w:val="heading 3"/>
    <w:basedOn w:val="Normal"/>
    <w:next w:val="Normal"/>
    <w:link w:val="Heading3Char"/>
    <w:uiPriority w:val="9"/>
    <w:unhideWhenUsed/>
    <w:qFormat/>
    <w:rsid w:val="001B623E"/>
    <w:pPr>
      <w:keepNext/>
      <w:keepLines/>
      <w:numPr>
        <w:ilvl w:val="2"/>
        <w:numId w:val="10"/>
      </w:numPr>
      <w:spacing w:before="200" w:after="0"/>
      <w:outlineLvl w:val="2"/>
    </w:pPr>
    <w:rPr>
      <w:rFonts w:eastAsiaTheme="majorEastAsia" w:cstheme="majorBidi"/>
      <w:bCs/>
      <w:i/>
    </w:rPr>
  </w:style>
  <w:style w:type="paragraph" w:styleId="Heading4">
    <w:name w:val="heading 4"/>
    <w:basedOn w:val="Normal"/>
    <w:next w:val="Normal"/>
    <w:link w:val="Heading4Char"/>
    <w:uiPriority w:val="9"/>
    <w:unhideWhenUsed/>
    <w:qFormat/>
    <w:rsid w:val="00242679"/>
    <w:pPr>
      <w:keepNext/>
      <w:keepLines/>
      <w:numPr>
        <w:ilvl w:val="3"/>
        <w:numId w:val="10"/>
      </w:numPr>
      <w:spacing w:before="200" w:after="0"/>
      <w:outlineLvl w:val="3"/>
    </w:pPr>
    <w:rPr>
      <w:rFonts w:ascii="Arial" w:eastAsiaTheme="majorEastAsia" w:hAnsi="Arial" w:cstheme="majorBidi"/>
      <w:bCs/>
      <w:i/>
      <w:iCs/>
    </w:rPr>
  </w:style>
  <w:style w:type="paragraph" w:styleId="Heading5">
    <w:name w:val="heading 5"/>
    <w:basedOn w:val="Normal"/>
    <w:next w:val="Normal"/>
    <w:link w:val="Heading5Char"/>
    <w:uiPriority w:val="9"/>
    <w:semiHidden/>
    <w:unhideWhenUsed/>
    <w:qFormat/>
    <w:rsid w:val="00D806F5"/>
    <w:pPr>
      <w:keepNext/>
      <w:keepLines/>
      <w:numPr>
        <w:ilvl w:val="4"/>
        <w:numId w:val="10"/>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D806F5"/>
    <w:pPr>
      <w:keepNext/>
      <w:keepLines/>
      <w:numPr>
        <w:ilvl w:val="5"/>
        <w:numId w:val="10"/>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D806F5"/>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06F5"/>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806F5"/>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00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00AA"/>
  </w:style>
  <w:style w:type="paragraph" w:styleId="Footer">
    <w:name w:val="footer"/>
    <w:basedOn w:val="Normal"/>
    <w:link w:val="FooterChar"/>
    <w:uiPriority w:val="99"/>
    <w:unhideWhenUsed/>
    <w:rsid w:val="003D00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00AA"/>
  </w:style>
  <w:style w:type="character" w:customStyle="1" w:styleId="Heading1Char">
    <w:name w:val="Heading 1 Char"/>
    <w:basedOn w:val="DefaultParagraphFont"/>
    <w:link w:val="Heading1"/>
    <w:uiPriority w:val="9"/>
    <w:rsid w:val="00742A99"/>
    <w:rPr>
      <w:rFonts w:ascii="Times New Roman" w:eastAsiaTheme="majorEastAsia" w:hAnsi="Times New Roman" w:cstheme="majorBidi"/>
      <w:b/>
      <w:bCs/>
      <w:sz w:val="24"/>
      <w:szCs w:val="28"/>
    </w:rPr>
  </w:style>
  <w:style w:type="paragraph" w:styleId="NoSpacing">
    <w:name w:val="No Spacing"/>
    <w:uiPriority w:val="1"/>
    <w:qFormat/>
    <w:rsid w:val="00742A99"/>
    <w:pPr>
      <w:numPr>
        <w:numId w:val="3"/>
      </w:numPr>
      <w:spacing w:after="0" w:line="480" w:lineRule="auto"/>
      <w:ind w:left="714" w:hanging="357"/>
    </w:pPr>
    <w:rPr>
      <w:rFonts w:ascii="Times New Roman" w:hAnsi="Times New Roman"/>
      <w:i/>
      <w:sz w:val="24"/>
    </w:rPr>
  </w:style>
  <w:style w:type="character" w:customStyle="1" w:styleId="Heading2Char">
    <w:name w:val="Heading 2 Char"/>
    <w:basedOn w:val="DefaultParagraphFont"/>
    <w:link w:val="Heading2"/>
    <w:uiPriority w:val="9"/>
    <w:rsid w:val="00742A99"/>
    <w:rPr>
      <w:rFonts w:ascii="Times New Roman" w:eastAsiaTheme="majorEastAsia" w:hAnsi="Times New Roman" w:cstheme="majorBidi"/>
      <w:bCs/>
      <w:i/>
      <w:sz w:val="24"/>
      <w:szCs w:val="26"/>
    </w:rPr>
  </w:style>
  <w:style w:type="character" w:customStyle="1" w:styleId="Heading3Char">
    <w:name w:val="Heading 3 Char"/>
    <w:basedOn w:val="DefaultParagraphFont"/>
    <w:link w:val="Heading3"/>
    <w:uiPriority w:val="9"/>
    <w:rsid w:val="001B623E"/>
    <w:rPr>
      <w:rFonts w:ascii="Times New Roman" w:eastAsiaTheme="majorEastAsia" w:hAnsi="Times New Roman" w:cstheme="majorBidi"/>
      <w:bCs/>
      <w:i/>
      <w:sz w:val="24"/>
    </w:rPr>
  </w:style>
  <w:style w:type="character" w:customStyle="1" w:styleId="Heading4Char">
    <w:name w:val="Heading 4 Char"/>
    <w:basedOn w:val="DefaultParagraphFont"/>
    <w:link w:val="Heading4"/>
    <w:uiPriority w:val="9"/>
    <w:rsid w:val="00242679"/>
    <w:rPr>
      <w:rFonts w:ascii="Arial" w:eastAsiaTheme="majorEastAsia" w:hAnsi="Arial" w:cstheme="majorBidi"/>
      <w:bCs/>
      <w:i/>
      <w:iCs/>
      <w:sz w:val="24"/>
    </w:rPr>
  </w:style>
  <w:style w:type="character" w:customStyle="1" w:styleId="Heading5Char">
    <w:name w:val="Heading 5 Char"/>
    <w:basedOn w:val="DefaultParagraphFont"/>
    <w:link w:val="Heading5"/>
    <w:uiPriority w:val="9"/>
    <w:semiHidden/>
    <w:rsid w:val="00D806F5"/>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semiHidden/>
    <w:rsid w:val="00D806F5"/>
    <w:rPr>
      <w:rFonts w:asciiTheme="majorHAnsi" w:eastAsiaTheme="majorEastAsia" w:hAnsiTheme="majorHAnsi" w:cstheme="majorBidi"/>
      <w:i/>
      <w:iCs/>
      <w:color w:val="1F3763" w:themeColor="accent1" w:themeShade="7F"/>
      <w:sz w:val="24"/>
    </w:rPr>
  </w:style>
  <w:style w:type="character" w:customStyle="1" w:styleId="Heading7Char">
    <w:name w:val="Heading 7 Char"/>
    <w:basedOn w:val="DefaultParagraphFont"/>
    <w:link w:val="Heading7"/>
    <w:uiPriority w:val="9"/>
    <w:semiHidden/>
    <w:rsid w:val="00D806F5"/>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806F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806F5"/>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0D6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6F9E"/>
    <w:rPr>
      <w:rFonts w:ascii="Tahoma" w:hAnsi="Tahoma" w:cs="Tahoma"/>
      <w:sz w:val="16"/>
      <w:szCs w:val="16"/>
    </w:rPr>
  </w:style>
  <w:style w:type="character" w:styleId="PlaceholderText">
    <w:name w:val="Placeholder Text"/>
    <w:basedOn w:val="DefaultParagraphFont"/>
    <w:uiPriority w:val="99"/>
    <w:semiHidden/>
    <w:rsid w:val="003D6F69"/>
    <w:rPr>
      <w:color w:val="808080"/>
    </w:rPr>
  </w:style>
  <w:style w:type="paragraph" w:styleId="Caption">
    <w:name w:val="caption"/>
    <w:basedOn w:val="Normal"/>
    <w:next w:val="Normal"/>
    <w:uiPriority w:val="35"/>
    <w:unhideWhenUsed/>
    <w:qFormat/>
    <w:rsid w:val="00A2279D"/>
    <w:pPr>
      <w:spacing w:after="200" w:line="240" w:lineRule="auto"/>
    </w:pPr>
    <w:rPr>
      <w:b/>
      <w:bCs/>
      <w:color w:val="4472C4" w:themeColor="accent1"/>
      <w:sz w:val="18"/>
      <w:szCs w:val="18"/>
    </w:rPr>
  </w:style>
  <w:style w:type="character" w:styleId="LineNumber">
    <w:name w:val="line number"/>
    <w:basedOn w:val="DefaultParagraphFont"/>
    <w:uiPriority w:val="99"/>
    <w:semiHidden/>
    <w:unhideWhenUsed/>
    <w:rsid w:val="009C2D6E"/>
  </w:style>
  <w:style w:type="character" w:styleId="Hyperlink">
    <w:name w:val="Hyperlink"/>
    <w:basedOn w:val="DefaultParagraphFont"/>
    <w:uiPriority w:val="99"/>
    <w:unhideWhenUsed/>
    <w:rsid w:val="004828F8"/>
    <w:rPr>
      <w:color w:val="0000FF"/>
      <w:u w:val="single"/>
    </w:rPr>
  </w:style>
  <w:style w:type="character" w:styleId="CommentReference">
    <w:name w:val="annotation reference"/>
    <w:basedOn w:val="DefaultParagraphFont"/>
    <w:uiPriority w:val="99"/>
    <w:semiHidden/>
    <w:unhideWhenUsed/>
    <w:rsid w:val="00BD3E04"/>
    <w:rPr>
      <w:sz w:val="16"/>
      <w:szCs w:val="16"/>
    </w:rPr>
  </w:style>
  <w:style w:type="paragraph" w:styleId="CommentText">
    <w:name w:val="annotation text"/>
    <w:basedOn w:val="Normal"/>
    <w:link w:val="CommentTextChar"/>
    <w:uiPriority w:val="99"/>
    <w:semiHidden/>
    <w:unhideWhenUsed/>
    <w:rsid w:val="00BD3E04"/>
    <w:pPr>
      <w:spacing w:line="240" w:lineRule="auto"/>
    </w:pPr>
    <w:rPr>
      <w:sz w:val="20"/>
      <w:szCs w:val="20"/>
    </w:rPr>
  </w:style>
  <w:style w:type="character" w:customStyle="1" w:styleId="CommentTextChar">
    <w:name w:val="Comment Text Char"/>
    <w:basedOn w:val="DefaultParagraphFont"/>
    <w:link w:val="CommentText"/>
    <w:uiPriority w:val="99"/>
    <w:semiHidden/>
    <w:rsid w:val="00BD3E0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BD3E04"/>
    <w:rPr>
      <w:b/>
      <w:bCs/>
    </w:rPr>
  </w:style>
  <w:style w:type="character" w:customStyle="1" w:styleId="CommentSubjectChar">
    <w:name w:val="Comment Subject Char"/>
    <w:basedOn w:val="CommentTextChar"/>
    <w:link w:val="CommentSubject"/>
    <w:uiPriority w:val="99"/>
    <w:semiHidden/>
    <w:rsid w:val="00BD3E04"/>
    <w:rPr>
      <w:rFonts w:ascii="Times New Roman" w:hAnsi="Times New Roman"/>
      <w:b/>
      <w:bCs/>
      <w:sz w:val="20"/>
      <w:szCs w:val="20"/>
    </w:rPr>
  </w:style>
  <w:style w:type="paragraph" w:styleId="Revision">
    <w:name w:val="Revision"/>
    <w:hidden/>
    <w:uiPriority w:val="99"/>
    <w:semiHidden/>
    <w:rsid w:val="00DB56C0"/>
    <w:pPr>
      <w:spacing w:after="0" w:line="240" w:lineRule="auto"/>
    </w:pPr>
    <w:rPr>
      <w:rFonts w:ascii="Times New Roman" w:hAnsi="Times New Roman"/>
      <w:sz w:val="24"/>
    </w:rPr>
  </w:style>
  <w:style w:type="table" w:styleId="TableGrid">
    <w:name w:val="Table Grid"/>
    <w:basedOn w:val="TableNormal"/>
    <w:uiPriority w:val="59"/>
    <w:rsid w:val="0040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rcid-id-https2">
    <w:name w:val="orcid-id-https2"/>
    <w:basedOn w:val="DefaultParagraphFont"/>
    <w:rsid w:val="003B0080"/>
    <w:rPr>
      <w:sz w:val="18"/>
      <w:szCs w:val="18"/>
    </w:rPr>
  </w:style>
  <w:style w:type="character" w:styleId="FollowedHyperlink">
    <w:name w:val="FollowedHyperlink"/>
    <w:basedOn w:val="DefaultParagraphFont"/>
    <w:uiPriority w:val="99"/>
    <w:semiHidden/>
    <w:unhideWhenUsed/>
    <w:rsid w:val="003639E6"/>
    <w:rPr>
      <w:color w:val="954F72" w:themeColor="followedHyperlink"/>
      <w:u w:val="single"/>
    </w:rPr>
  </w:style>
  <w:style w:type="table" w:styleId="PlainTable2">
    <w:name w:val="Plain Table 2"/>
    <w:basedOn w:val="TableNormal"/>
    <w:uiPriority w:val="42"/>
    <w:rsid w:val="00E5161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2120D2"/>
    <w:pPr>
      <w:ind w:left="720"/>
      <w:contextualSpacing/>
    </w:pPr>
  </w:style>
  <w:style w:type="paragraph" w:customStyle="1" w:styleId="xmsonormal">
    <w:name w:val="x_msonormal"/>
    <w:basedOn w:val="Normal"/>
    <w:rsid w:val="00EF553D"/>
    <w:pPr>
      <w:spacing w:before="100" w:beforeAutospacing="1" w:after="100" w:afterAutospacing="1" w:line="240" w:lineRule="auto"/>
    </w:pPr>
    <w:rPr>
      <w:rFonts w:eastAsia="Times New Roman" w:cs="Times New Roman"/>
      <w:szCs w:val="24"/>
      <w:lang w:eastAsia="en-GB"/>
    </w:rPr>
  </w:style>
  <w:style w:type="character" w:styleId="UnresolvedMention">
    <w:name w:val="Unresolved Mention"/>
    <w:basedOn w:val="DefaultParagraphFont"/>
    <w:uiPriority w:val="99"/>
    <w:semiHidden/>
    <w:unhideWhenUsed/>
    <w:rsid w:val="00253F89"/>
    <w:rPr>
      <w:color w:val="605E5C"/>
      <w:shd w:val="clear" w:color="auto" w:fill="E1DFDD"/>
    </w:rPr>
  </w:style>
  <w:style w:type="paragraph" w:styleId="FootnoteText">
    <w:name w:val="footnote text"/>
    <w:basedOn w:val="Normal"/>
    <w:link w:val="FootnoteTextChar"/>
    <w:uiPriority w:val="99"/>
    <w:semiHidden/>
    <w:unhideWhenUsed/>
    <w:rsid w:val="003F325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F3256"/>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3256"/>
    <w:rPr>
      <w:vertAlign w:val="superscript"/>
    </w:rPr>
  </w:style>
  <w:style w:type="character" w:styleId="Strong">
    <w:name w:val="Strong"/>
    <w:basedOn w:val="DefaultParagraphFont"/>
    <w:uiPriority w:val="22"/>
    <w:qFormat/>
    <w:rsid w:val="008F5420"/>
    <w:rPr>
      <w:b/>
      <w:bCs/>
    </w:rPr>
  </w:style>
  <w:style w:type="paragraph" w:customStyle="1" w:styleId="Default">
    <w:name w:val="Default"/>
    <w:rsid w:val="003E193C"/>
    <w:pPr>
      <w:autoSpaceDE w:val="0"/>
      <w:autoSpaceDN w:val="0"/>
      <w:adjustRightInd w:val="0"/>
      <w:spacing w:after="0" w:line="240" w:lineRule="auto"/>
    </w:pPr>
    <w:rPr>
      <w:rFonts w:ascii="Times New Roman" w:eastAsia="Cambria" w:hAnsi="Times New Roman" w:cs="Times New Roman"/>
      <w:color w:val="00000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7839">
      <w:bodyDiv w:val="1"/>
      <w:marLeft w:val="0"/>
      <w:marRight w:val="0"/>
      <w:marTop w:val="0"/>
      <w:marBottom w:val="0"/>
      <w:divBdr>
        <w:top w:val="none" w:sz="0" w:space="0" w:color="auto"/>
        <w:left w:val="none" w:sz="0" w:space="0" w:color="auto"/>
        <w:bottom w:val="none" w:sz="0" w:space="0" w:color="auto"/>
        <w:right w:val="none" w:sz="0" w:space="0" w:color="auto"/>
      </w:divBdr>
    </w:div>
    <w:div w:id="16397919">
      <w:bodyDiv w:val="1"/>
      <w:marLeft w:val="0"/>
      <w:marRight w:val="0"/>
      <w:marTop w:val="0"/>
      <w:marBottom w:val="0"/>
      <w:divBdr>
        <w:top w:val="none" w:sz="0" w:space="0" w:color="auto"/>
        <w:left w:val="none" w:sz="0" w:space="0" w:color="auto"/>
        <w:bottom w:val="none" w:sz="0" w:space="0" w:color="auto"/>
        <w:right w:val="none" w:sz="0" w:space="0" w:color="auto"/>
      </w:divBdr>
    </w:div>
    <w:div w:id="28536909">
      <w:bodyDiv w:val="1"/>
      <w:marLeft w:val="0"/>
      <w:marRight w:val="0"/>
      <w:marTop w:val="0"/>
      <w:marBottom w:val="0"/>
      <w:divBdr>
        <w:top w:val="none" w:sz="0" w:space="0" w:color="auto"/>
        <w:left w:val="none" w:sz="0" w:space="0" w:color="auto"/>
        <w:bottom w:val="none" w:sz="0" w:space="0" w:color="auto"/>
        <w:right w:val="none" w:sz="0" w:space="0" w:color="auto"/>
      </w:divBdr>
    </w:div>
    <w:div w:id="41180106">
      <w:bodyDiv w:val="1"/>
      <w:marLeft w:val="0"/>
      <w:marRight w:val="0"/>
      <w:marTop w:val="0"/>
      <w:marBottom w:val="0"/>
      <w:divBdr>
        <w:top w:val="none" w:sz="0" w:space="0" w:color="auto"/>
        <w:left w:val="none" w:sz="0" w:space="0" w:color="auto"/>
        <w:bottom w:val="none" w:sz="0" w:space="0" w:color="auto"/>
        <w:right w:val="none" w:sz="0" w:space="0" w:color="auto"/>
      </w:divBdr>
    </w:div>
    <w:div w:id="72749544">
      <w:bodyDiv w:val="1"/>
      <w:marLeft w:val="0"/>
      <w:marRight w:val="0"/>
      <w:marTop w:val="0"/>
      <w:marBottom w:val="0"/>
      <w:divBdr>
        <w:top w:val="none" w:sz="0" w:space="0" w:color="auto"/>
        <w:left w:val="none" w:sz="0" w:space="0" w:color="auto"/>
        <w:bottom w:val="none" w:sz="0" w:space="0" w:color="auto"/>
        <w:right w:val="none" w:sz="0" w:space="0" w:color="auto"/>
      </w:divBdr>
    </w:div>
    <w:div w:id="93062841">
      <w:bodyDiv w:val="1"/>
      <w:marLeft w:val="0"/>
      <w:marRight w:val="0"/>
      <w:marTop w:val="0"/>
      <w:marBottom w:val="0"/>
      <w:divBdr>
        <w:top w:val="none" w:sz="0" w:space="0" w:color="auto"/>
        <w:left w:val="none" w:sz="0" w:space="0" w:color="auto"/>
        <w:bottom w:val="none" w:sz="0" w:space="0" w:color="auto"/>
        <w:right w:val="none" w:sz="0" w:space="0" w:color="auto"/>
      </w:divBdr>
    </w:div>
    <w:div w:id="137962551">
      <w:bodyDiv w:val="1"/>
      <w:marLeft w:val="0"/>
      <w:marRight w:val="0"/>
      <w:marTop w:val="0"/>
      <w:marBottom w:val="0"/>
      <w:divBdr>
        <w:top w:val="none" w:sz="0" w:space="0" w:color="auto"/>
        <w:left w:val="none" w:sz="0" w:space="0" w:color="auto"/>
        <w:bottom w:val="none" w:sz="0" w:space="0" w:color="auto"/>
        <w:right w:val="none" w:sz="0" w:space="0" w:color="auto"/>
      </w:divBdr>
    </w:div>
    <w:div w:id="138496326">
      <w:bodyDiv w:val="1"/>
      <w:marLeft w:val="0"/>
      <w:marRight w:val="0"/>
      <w:marTop w:val="0"/>
      <w:marBottom w:val="0"/>
      <w:divBdr>
        <w:top w:val="none" w:sz="0" w:space="0" w:color="auto"/>
        <w:left w:val="none" w:sz="0" w:space="0" w:color="auto"/>
        <w:bottom w:val="none" w:sz="0" w:space="0" w:color="auto"/>
        <w:right w:val="none" w:sz="0" w:space="0" w:color="auto"/>
      </w:divBdr>
    </w:div>
    <w:div w:id="243685867">
      <w:bodyDiv w:val="1"/>
      <w:marLeft w:val="0"/>
      <w:marRight w:val="0"/>
      <w:marTop w:val="0"/>
      <w:marBottom w:val="0"/>
      <w:divBdr>
        <w:top w:val="none" w:sz="0" w:space="0" w:color="auto"/>
        <w:left w:val="none" w:sz="0" w:space="0" w:color="auto"/>
        <w:bottom w:val="none" w:sz="0" w:space="0" w:color="auto"/>
        <w:right w:val="none" w:sz="0" w:space="0" w:color="auto"/>
      </w:divBdr>
    </w:div>
    <w:div w:id="272249827">
      <w:bodyDiv w:val="1"/>
      <w:marLeft w:val="0"/>
      <w:marRight w:val="0"/>
      <w:marTop w:val="0"/>
      <w:marBottom w:val="0"/>
      <w:divBdr>
        <w:top w:val="none" w:sz="0" w:space="0" w:color="auto"/>
        <w:left w:val="none" w:sz="0" w:space="0" w:color="auto"/>
        <w:bottom w:val="none" w:sz="0" w:space="0" w:color="auto"/>
        <w:right w:val="none" w:sz="0" w:space="0" w:color="auto"/>
      </w:divBdr>
    </w:div>
    <w:div w:id="272982609">
      <w:bodyDiv w:val="1"/>
      <w:marLeft w:val="0"/>
      <w:marRight w:val="0"/>
      <w:marTop w:val="0"/>
      <w:marBottom w:val="0"/>
      <w:divBdr>
        <w:top w:val="none" w:sz="0" w:space="0" w:color="auto"/>
        <w:left w:val="none" w:sz="0" w:space="0" w:color="auto"/>
        <w:bottom w:val="none" w:sz="0" w:space="0" w:color="auto"/>
        <w:right w:val="none" w:sz="0" w:space="0" w:color="auto"/>
      </w:divBdr>
    </w:div>
    <w:div w:id="277952525">
      <w:bodyDiv w:val="1"/>
      <w:marLeft w:val="0"/>
      <w:marRight w:val="0"/>
      <w:marTop w:val="0"/>
      <w:marBottom w:val="0"/>
      <w:divBdr>
        <w:top w:val="none" w:sz="0" w:space="0" w:color="auto"/>
        <w:left w:val="none" w:sz="0" w:space="0" w:color="auto"/>
        <w:bottom w:val="none" w:sz="0" w:space="0" w:color="auto"/>
        <w:right w:val="none" w:sz="0" w:space="0" w:color="auto"/>
      </w:divBdr>
    </w:div>
    <w:div w:id="286275665">
      <w:bodyDiv w:val="1"/>
      <w:marLeft w:val="0"/>
      <w:marRight w:val="0"/>
      <w:marTop w:val="0"/>
      <w:marBottom w:val="0"/>
      <w:divBdr>
        <w:top w:val="none" w:sz="0" w:space="0" w:color="auto"/>
        <w:left w:val="none" w:sz="0" w:space="0" w:color="auto"/>
        <w:bottom w:val="none" w:sz="0" w:space="0" w:color="auto"/>
        <w:right w:val="none" w:sz="0" w:space="0" w:color="auto"/>
      </w:divBdr>
    </w:div>
    <w:div w:id="296616948">
      <w:bodyDiv w:val="1"/>
      <w:marLeft w:val="0"/>
      <w:marRight w:val="0"/>
      <w:marTop w:val="0"/>
      <w:marBottom w:val="0"/>
      <w:divBdr>
        <w:top w:val="none" w:sz="0" w:space="0" w:color="auto"/>
        <w:left w:val="none" w:sz="0" w:space="0" w:color="auto"/>
        <w:bottom w:val="none" w:sz="0" w:space="0" w:color="auto"/>
        <w:right w:val="none" w:sz="0" w:space="0" w:color="auto"/>
      </w:divBdr>
    </w:div>
    <w:div w:id="328221060">
      <w:bodyDiv w:val="1"/>
      <w:marLeft w:val="0"/>
      <w:marRight w:val="0"/>
      <w:marTop w:val="0"/>
      <w:marBottom w:val="0"/>
      <w:divBdr>
        <w:top w:val="none" w:sz="0" w:space="0" w:color="auto"/>
        <w:left w:val="none" w:sz="0" w:space="0" w:color="auto"/>
        <w:bottom w:val="none" w:sz="0" w:space="0" w:color="auto"/>
        <w:right w:val="none" w:sz="0" w:space="0" w:color="auto"/>
      </w:divBdr>
    </w:div>
    <w:div w:id="331763024">
      <w:bodyDiv w:val="1"/>
      <w:marLeft w:val="0"/>
      <w:marRight w:val="0"/>
      <w:marTop w:val="0"/>
      <w:marBottom w:val="0"/>
      <w:divBdr>
        <w:top w:val="none" w:sz="0" w:space="0" w:color="auto"/>
        <w:left w:val="none" w:sz="0" w:space="0" w:color="auto"/>
        <w:bottom w:val="none" w:sz="0" w:space="0" w:color="auto"/>
        <w:right w:val="none" w:sz="0" w:space="0" w:color="auto"/>
      </w:divBdr>
    </w:div>
    <w:div w:id="345787197">
      <w:bodyDiv w:val="1"/>
      <w:marLeft w:val="0"/>
      <w:marRight w:val="0"/>
      <w:marTop w:val="0"/>
      <w:marBottom w:val="0"/>
      <w:divBdr>
        <w:top w:val="none" w:sz="0" w:space="0" w:color="auto"/>
        <w:left w:val="none" w:sz="0" w:space="0" w:color="auto"/>
        <w:bottom w:val="none" w:sz="0" w:space="0" w:color="auto"/>
        <w:right w:val="none" w:sz="0" w:space="0" w:color="auto"/>
      </w:divBdr>
    </w:div>
    <w:div w:id="380371660">
      <w:bodyDiv w:val="1"/>
      <w:marLeft w:val="0"/>
      <w:marRight w:val="0"/>
      <w:marTop w:val="0"/>
      <w:marBottom w:val="0"/>
      <w:divBdr>
        <w:top w:val="none" w:sz="0" w:space="0" w:color="auto"/>
        <w:left w:val="none" w:sz="0" w:space="0" w:color="auto"/>
        <w:bottom w:val="none" w:sz="0" w:space="0" w:color="auto"/>
        <w:right w:val="none" w:sz="0" w:space="0" w:color="auto"/>
      </w:divBdr>
    </w:div>
    <w:div w:id="399137754">
      <w:bodyDiv w:val="1"/>
      <w:marLeft w:val="0"/>
      <w:marRight w:val="0"/>
      <w:marTop w:val="0"/>
      <w:marBottom w:val="0"/>
      <w:divBdr>
        <w:top w:val="none" w:sz="0" w:space="0" w:color="auto"/>
        <w:left w:val="none" w:sz="0" w:space="0" w:color="auto"/>
        <w:bottom w:val="none" w:sz="0" w:space="0" w:color="auto"/>
        <w:right w:val="none" w:sz="0" w:space="0" w:color="auto"/>
      </w:divBdr>
    </w:div>
    <w:div w:id="435488743">
      <w:bodyDiv w:val="1"/>
      <w:marLeft w:val="0"/>
      <w:marRight w:val="0"/>
      <w:marTop w:val="0"/>
      <w:marBottom w:val="0"/>
      <w:divBdr>
        <w:top w:val="none" w:sz="0" w:space="0" w:color="auto"/>
        <w:left w:val="none" w:sz="0" w:space="0" w:color="auto"/>
        <w:bottom w:val="none" w:sz="0" w:space="0" w:color="auto"/>
        <w:right w:val="none" w:sz="0" w:space="0" w:color="auto"/>
      </w:divBdr>
    </w:div>
    <w:div w:id="444083139">
      <w:bodyDiv w:val="1"/>
      <w:marLeft w:val="0"/>
      <w:marRight w:val="0"/>
      <w:marTop w:val="0"/>
      <w:marBottom w:val="0"/>
      <w:divBdr>
        <w:top w:val="none" w:sz="0" w:space="0" w:color="auto"/>
        <w:left w:val="none" w:sz="0" w:space="0" w:color="auto"/>
        <w:bottom w:val="none" w:sz="0" w:space="0" w:color="auto"/>
        <w:right w:val="none" w:sz="0" w:space="0" w:color="auto"/>
      </w:divBdr>
    </w:div>
    <w:div w:id="458383653">
      <w:bodyDiv w:val="1"/>
      <w:marLeft w:val="0"/>
      <w:marRight w:val="0"/>
      <w:marTop w:val="0"/>
      <w:marBottom w:val="0"/>
      <w:divBdr>
        <w:top w:val="none" w:sz="0" w:space="0" w:color="auto"/>
        <w:left w:val="none" w:sz="0" w:space="0" w:color="auto"/>
        <w:bottom w:val="none" w:sz="0" w:space="0" w:color="auto"/>
        <w:right w:val="none" w:sz="0" w:space="0" w:color="auto"/>
      </w:divBdr>
    </w:div>
    <w:div w:id="484049459">
      <w:bodyDiv w:val="1"/>
      <w:marLeft w:val="0"/>
      <w:marRight w:val="0"/>
      <w:marTop w:val="0"/>
      <w:marBottom w:val="0"/>
      <w:divBdr>
        <w:top w:val="none" w:sz="0" w:space="0" w:color="auto"/>
        <w:left w:val="none" w:sz="0" w:space="0" w:color="auto"/>
        <w:bottom w:val="none" w:sz="0" w:space="0" w:color="auto"/>
        <w:right w:val="none" w:sz="0" w:space="0" w:color="auto"/>
      </w:divBdr>
    </w:div>
    <w:div w:id="556740110">
      <w:bodyDiv w:val="1"/>
      <w:marLeft w:val="0"/>
      <w:marRight w:val="0"/>
      <w:marTop w:val="0"/>
      <w:marBottom w:val="0"/>
      <w:divBdr>
        <w:top w:val="none" w:sz="0" w:space="0" w:color="auto"/>
        <w:left w:val="none" w:sz="0" w:space="0" w:color="auto"/>
        <w:bottom w:val="none" w:sz="0" w:space="0" w:color="auto"/>
        <w:right w:val="none" w:sz="0" w:space="0" w:color="auto"/>
      </w:divBdr>
    </w:div>
    <w:div w:id="588394323">
      <w:bodyDiv w:val="1"/>
      <w:marLeft w:val="0"/>
      <w:marRight w:val="0"/>
      <w:marTop w:val="0"/>
      <w:marBottom w:val="0"/>
      <w:divBdr>
        <w:top w:val="none" w:sz="0" w:space="0" w:color="auto"/>
        <w:left w:val="none" w:sz="0" w:space="0" w:color="auto"/>
        <w:bottom w:val="none" w:sz="0" w:space="0" w:color="auto"/>
        <w:right w:val="none" w:sz="0" w:space="0" w:color="auto"/>
      </w:divBdr>
    </w:div>
    <w:div w:id="609093807">
      <w:bodyDiv w:val="1"/>
      <w:marLeft w:val="0"/>
      <w:marRight w:val="0"/>
      <w:marTop w:val="0"/>
      <w:marBottom w:val="0"/>
      <w:divBdr>
        <w:top w:val="none" w:sz="0" w:space="0" w:color="auto"/>
        <w:left w:val="none" w:sz="0" w:space="0" w:color="auto"/>
        <w:bottom w:val="none" w:sz="0" w:space="0" w:color="auto"/>
        <w:right w:val="none" w:sz="0" w:space="0" w:color="auto"/>
      </w:divBdr>
    </w:div>
    <w:div w:id="619066568">
      <w:bodyDiv w:val="1"/>
      <w:marLeft w:val="0"/>
      <w:marRight w:val="0"/>
      <w:marTop w:val="0"/>
      <w:marBottom w:val="0"/>
      <w:divBdr>
        <w:top w:val="none" w:sz="0" w:space="0" w:color="auto"/>
        <w:left w:val="none" w:sz="0" w:space="0" w:color="auto"/>
        <w:bottom w:val="none" w:sz="0" w:space="0" w:color="auto"/>
        <w:right w:val="none" w:sz="0" w:space="0" w:color="auto"/>
      </w:divBdr>
    </w:div>
    <w:div w:id="624047754">
      <w:bodyDiv w:val="1"/>
      <w:marLeft w:val="0"/>
      <w:marRight w:val="0"/>
      <w:marTop w:val="0"/>
      <w:marBottom w:val="0"/>
      <w:divBdr>
        <w:top w:val="none" w:sz="0" w:space="0" w:color="auto"/>
        <w:left w:val="none" w:sz="0" w:space="0" w:color="auto"/>
        <w:bottom w:val="none" w:sz="0" w:space="0" w:color="auto"/>
        <w:right w:val="none" w:sz="0" w:space="0" w:color="auto"/>
      </w:divBdr>
    </w:div>
    <w:div w:id="638195893">
      <w:bodyDiv w:val="1"/>
      <w:marLeft w:val="0"/>
      <w:marRight w:val="0"/>
      <w:marTop w:val="0"/>
      <w:marBottom w:val="0"/>
      <w:divBdr>
        <w:top w:val="none" w:sz="0" w:space="0" w:color="auto"/>
        <w:left w:val="none" w:sz="0" w:space="0" w:color="auto"/>
        <w:bottom w:val="none" w:sz="0" w:space="0" w:color="auto"/>
        <w:right w:val="none" w:sz="0" w:space="0" w:color="auto"/>
      </w:divBdr>
    </w:div>
    <w:div w:id="642926760">
      <w:bodyDiv w:val="1"/>
      <w:marLeft w:val="0"/>
      <w:marRight w:val="0"/>
      <w:marTop w:val="0"/>
      <w:marBottom w:val="0"/>
      <w:divBdr>
        <w:top w:val="none" w:sz="0" w:space="0" w:color="auto"/>
        <w:left w:val="none" w:sz="0" w:space="0" w:color="auto"/>
        <w:bottom w:val="none" w:sz="0" w:space="0" w:color="auto"/>
        <w:right w:val="none" w:sz="0" w:space="0" w:color="auto"/>
      </w:divBdr>
    </w:div>
    <w:div w:id="647976641">
      <w:bodyDiv w:val="1"/>
      <w:marLeft w:val="0"/>
      <w:marRight w:val="0"/>
      <w:marTop w:val="0"/>
      <w:marBottom w:val="0"/>
      <w:divBdr>
        <w:top w:val="none" w:sz="0" w:space="0" w:color="auto"/>
        <w:left w:val="none" w:sz="0" w:space="0" w:color="auto"/>
        <w:bottom w:val="none" w:sz="0" w:space="0" w:color="auto"/>
        <w:right w:val="none" w:sz="0" w:space="0" w:color="auto"/>
      </w:divBdr>
    </w:div>
    <w:div w:id="648096609">
      <w:bodyDiv w:val="1"/>
      <w:marLeft w:val="0"/>
      <w:marRight w:val="0"/>
      <w:marTop w:val="0"/>
      <w:marBottom w:val="0"/>
      <w:divBdr>
        <w:top w:val="none" w:sz="0" w:space="0" w:color="auto"/>
        <w:left w:val="none" w:sz="0" w:space="0" w:color="auto"/>
        <w:bottom w:val="none" w:sz="0" w:space="0" w:color="auto"/>
        <w:right w:val="none" w:sz="0" w:space="0" w:color="auto"/>
      </w:divBdr>
    </w:div>
    <w:div w:id="659236257">
      <w:bodyDiv w:val="1"/>
      <w:marLeft w:val="0"/>
      <w:marRight w:val="0"/>
      <w:marTop w:val="0"/>
      <w:marBottom w:val="0"/>
      <w:divBdr>
        <w:top w:val="none" w:sz="0" w:space="0" w:color="auto"/>
        <w:left w:val="none" w:sz="0" w:space="0" w:color="auto"/>
        <w:bottom w:val="none" w:sz="0" w:space="0" w:color="auto"/>
        <w:right w:val="none" w:sz="0" w:space="0" w:color="auto"/>
      </w:divBdr>
    </w:div>
    <w:div w:id="673532474">
      <w:bodyDiv w:val="1"/>
      <w:marLeft w:val="0"/>
      <w:marRight w:val="0"/>
      <w:marTop w:val="0"/>
      <w:marBottom w:val="0"/>
      <w:divBdr>
        <w:top w:val="none" w:sz="0" w:space="0" w:color="auto"/>
        <w:left w:val="none" w:sz="0" w:space="0" w:color="auto"/>
        <w:bottom w:val="none" w:sz="0" w:space="0" w:color="auto"/>
        <w:right w:val="none" w:sz="0" w:space="0" w:color="auto"/>
      </w:divBdr>
    </w:div>
    <w:div w:id="712392347">
      <w:bodyDiv w:val="1"/>
      <w:marLeft w:val="0"/>
      <w:marRight w:val="0"/>
      <w:marTop w:val="0"/>
      <w:marBottom w:val="0"/>
      <w:divBdr>
        <w:top w:val="none" w:sz="0" w:space="0" w:color="auto"/>
        <w:left w:val="none" w:sz="0" w:space="0" w:color="auto"/>
        <w:bottom w:val="none" w:sz="0" w:space="0" w:color="auto"/>
        <w:right w:val="none" w:sz="0" w:space="0" w:color="auto"/>
      </w:divBdr>
    </w:div>
    <w:div w:id="730008523">
      <w:bodyDiv w:val="1"/>
      <w:marLeft w:val="0"/>
      <w:marRight w:val="0"/>
      <w:marTop w:val="0"/>
      <w:marBottom w:val="0"/>
      <w:divBdr>
        <w:top w:val="none" w:sz="0" w:space="0" w:color="auto"/>
        <w:left w:val="none" w:sz="0" w:space="0" w:color="auto"/>
        <w:bottom w:val="none" w:sz="0" w:space="0" w:color="auto"/>
        <w:right w:val="none" w:sz="0" w:space="0" w:color="auto"/>
      </w:divBdr>
    </w:div>
    <w:div w:id="743725892">
      <w:bodyDiv w:val="1"/>
      <w:marLeft w:val="0"/>
      <w:marRight w:val="0"/>
      <w:marTop w:val="0"/>
      <w:marBottom w:val="0"/>
      <w:divBdr>
        <w:top w:val="none" w:sz="0" w:space="0" w:color="auto"/>
        <w:left w:val="none" w:sz="0" w:space="0" w:color="auto"/>
        <w:bottom w:val="none" w:sz="0" w:space="0" w:color="auto"/>
        <w:right w:val="none" w:sz="0" w:space="0" w:color="auto"/>
      </w:divBdr>
    </w:div>
    <w:div w:id="744302309">
      <w:bodyDiv w:val="1"/>
      <w:marLeft w:val="0"/>
      <w:marRight w:val="0"/>
      <w:marTop w:val="0"/>
      <w:marBottom w:val="0"/>
      <w:divBdr>
        <w:top w:val="none" w:sz="0" w:space="0" w:color="auto"/>
        <w:left w:val="none" w:sz="0" w:space="0" w:color="auto"/>
        <w:bottom w:val="none" w:sz="0" w:space="0" w:color="auto"/>
        <w:right w:val="none" w:sz="0" w:space="0" w:color="auto"/>
      </w:divBdr>
    </w:div>
    <w:div w:id="755632474">
      <w:bodyDiv w:val="1"/>
      <w:marLeft w:val="0"/>
      <w:marRight w:val="0"/>
      <w:marTop w:val="0"/>
      <w:marBottom w:val="0"/>
      <w:divBdr>
        <w:top w:val="none" w:sz="0" w:space="0" w:color="auto"/>
        <w:left w:val="none" w:sz="0" w:space="0" w:color="auto"/>
        <w:bottom w:val="none" w:sz="0" w:space="0" w:color="auto"/>
        <w:right w:val="none" w:sz="0" w:space="0" w:color="auto"/>
      </w:divBdr>
    </w:div>
    <w:div w:id="768040375">
      <w:bodyDiv w:val="1"/>
      <w:marLeft w:val="0"/>
      <w:marRight w:val="0"/>
      <w:marTop w:val="0"/>
      <w:marBottom w:val="0"/>
      <w:divBdr>
        <w:top w:val="none" w:sz="0" w:space="0" w:color="auto"/>
        <w:left w:val="none" w:sz="0" w:space="0" w:color="auto"/>
        <w:bottom w:val="none" w:sz="0" w:space="0" w:color="auto"/>
        <w:right w:val="none" w:sz="0" w:space="0" w:color="auto"/>
      </w:divBdr>
    </w:div>
    <w:div w:id="772938700">
      <w:bodyDiv w:val="1"/>
      <w:marLeft w:val="0"/>
      <w:marRight w:val="0"/>
      <w:marTop w:val="0"/>
      <w:marBottom w:val="0"/>
      <w:divBdr>
        <w:top w:val="none" w:sz="0" w:space="0" w:color="auto"/>
        <w:left w:val="none" w:sz="0" w:space="0" w:color="auto"/>
        <w:bottom w:val="none" w:sz="0" w:space="0" w:color="auto"/>
        <w:right w:val="none" w:sz="0" w:space="0" w:color="auto"/>
      </w:divBdr>
    </w:div>
    <w:div w:id="782655267">
      <w:bodyDiv w:val="1"/>
      <w:marLeft w:val="0"/>
      <w:marRight w:val="0"/>
      <w:marTop w:val="0"/>
      <w:marBottom w:val="0"/>
      <w:divBdr>
        <w:top w:val="none" w:sz="0" w:space="0" w:color="auto"/>
        <w:left w:val="none" w:sz="0" w:space="0" w:color="auto"/>
        <w:bottom w:val="none" w:sz="0" w:space="0" w:color="auto"/>
        <w:right w:val="none" w:sz="0" w:space="0" w:color="auto"/>
      </w:divBdr>
    </w:div>
    <w:div w:id="790248691">
      <w:bodyDiv w:val="1"/>
      <w:marLeft w:val="0"/>
      <w:marRight w:val="0"/>
      <w:marTop w:val="0"/>
      <w:marBottom w:val="0"/>
      <w:divBdr>
        <w:top w:val="none" w:sz="0" w:space="0" w:color="auto"/>
        <w:left w:val="none" w:sz="0" w:space="0" w:color="auto"/>
        <w:bottom w:val="none" w:sz="0" w:space="0" w:color="auto"/>
        <w:right w:val="none" w:sz="0" w:space="0" w:color="auto"/>
      </w:divBdr>
    </w:div>
    <w:div w:id="794180942">
      <w:bodyDiv w:val="1"/>
      <w:marLeft w:val="0"/>
      <w:marRight w:val="0"/>
      <w:marTop w:val="0"/>
      <w:marBottom w:val="0"/>
      <w:divBdr>
        <w:top w:val="none" w:sz="0" w:space="0" w:color="auto"/>
        <w:left w:val="none" w:sz="0" w:space="0" w:color="auto"/>
        <w:bottom w:val="none" w:sz="0" w:space="0" w:color="auto"/>
        <w:right w:val="none" w:sz="0" w:space="0" w:color="auto"/>
      </w:divBdr>
    </w:div>
    <w:div w:id="802430655">
      <w:bodyDiv w:val="1"/>
      <w:marLeft w:val="0"/>
      <w:marRight w:val="0"/>
      <w:marTop w:val="0"/>
      <w:marBottom w:val="0"/>
      <w:divBdr>
        <w:top w:val="none" w:sz="0" w:space="0" w:color="auto"/>
        <w:left w:val="none" w:sz="0" w:space="0" w:color="auto"/>
        <w:bottom w:val="none" w:sz="0" w:space="0" w:color="auto"/>
        <w:right w:val="none" w:sz="0" w:space="0" w:color="auto"/>
      </w:divBdr>
    </w:div>
    <w:div w:id="823932917">
      <w:bodyDiv w:val="1"/>
      <w:marLeft w:val="0"/>
      <w:marRight w:val="0"/>
      <w:marTop w:val="0"/>
      <w:marBottom w:val="0"/>
      <w:divBdr>
        <w:top w:val="none" w:sz="0" w:space="0" w:color="auto"/>
        <w:left w:val="none" w:sz="0" w:space="0" w:color="auto"/>
        <w:bottom w:val="none" w:sz="0" w:space="0" w:color="auto"/>
        <w:right w:val="none" w:sz="0" w:space="0" w:color="auto"/>
      </w:divBdr>
    </w:div>
    <w:div w:id="872887903">
      <w:bodyDiv w:val="1"/>
      <w:marLeft w:val="0"/>
      <w:marRight w:val="0"/>
      <w:marTop w:val="0"/>
      <w:marBottom w:val="0"/>
      <w:divBdr>
        <w:top w:val="none" w:sz="0" w:space="0" w:color="auto"/>
        <w:left w:val="none" w:sz="0" w:space="0" w:color="auto"/>
        <w:bottom w:val="none" w:sz="0" w:space="0" w:color="auto"/>
        <w:right w:val="none" w:sz="0" w:space="0" w:color="auto"/>
      </w:divBdr>
    </w:div>
    <w:div w:id="879632990">
      <w:bodyDiv w:val="1"/>
      <w:marLeft w:val="0"/>
      <w:marRight w:val="0"/>
      <w:marTop w:val="0"/>
      <w:marBottom w:val="0"/>
      <w:divBdr>
        <w:top w:val="none" w:sz="0" w:space="0" w:color="auto"/>
        <w:left w:val="none" w:sz="0" w:space="0" w:color="auto"/>
        <w:bottom w:val="none" w:sz="0" w:space="0" w:color="auto"/>
        <w:right w:val="none" w:sz="0" w:space="0" w:color="auto"/>
      </w:divBdr>
    </w:div>
    <w:div w:id="898132956">
      <w:bodyDiv w:val="1"/>
      <w:marLeft w:val="0"/>
      <w:marRight w:val="0"/>
      <w:marTop w:val="0"/>
      <w:marBottom w:val="0"/>
      <w:divBdr>
        <w:top w:val="none" w:sz="0" w:space="0" w:color="auto"/>
        <w:left w:val="none" w:sz="0" w:space="0" w:color="auto"/>
        <w:bottom w:val="none" w:sz="0" w:space="0" w:color="auto"/>
        <w:right w:val="none" w:sz="0" w:space="0" w:color="auto"/>
      </w:divBdr>
    </w:div>
    <w:div w:id="902372987">
      <w:bodyDiv w:val="1"/>
      <w:marLeft w:val="0"/>
      <w:marRight w:val="0"/>
      <w:marTop w:val="0"/>
      <w:marBottom w:val="0"/>
      <w:divBdr>
        <w:top w:val="none" w:sz="0" w:space="0" w:color="auto"/>
        <w:left w:val="none" w:sz="0" w:space="0" w:color="auto"/>
        <w:bottom w:val="none" w:sz="0" w:space="0" w:color="auto"/>
        <w:right w:val="none" w:sz="0" w:space="0" w:color="auto"/>
      </w:divBdr>
    </w:div>
    <w:div w:id="909732900">
      <w:bodyDiv w:val="1"/>
      <w:marLeft w:val="0"/>
      <w:marRight w:val="0"/>
      <w:marTop w:val="0"/>
      <w:marBottom w:val="0"/>
      <w:divBdr>
        <w:top w:val="none" w:sz="0" w:space="0" w:color="auto"/>
        <w:left w:val="none" w:sz="0" w:space="0" w:color="auto"/>
        <w:bottom w:val="none" w:sz="0" w:space="0" w:color="auto"/>
        <w:right w:val="none" w:sz="0" w:space="0" w:color="auto"/>
      </w:divBdr>
    </w:div>
    <w:div w:id="926811940">
      <w:bodyDiv w:val="1"/>
      <w:marLeft w:val="0"/>
      <w:marRight w:val="0"/>
      <w:marTop w:val="0"/>
      <w:marBottom w:val="0"/>
      <w:divBdr>
        <w:top w:val="none" w:sz="0" w:space="0" w:color="auto"/>
        <w:left w:val="none" w:sz="0" w:space="0" w:color="auto"/>
        <w:bottom w:val="none" w:sz="0" w:space="0" w:color="auto"/>
        <w:right w:val="none" w:sz="0" w:space="0" w:color="auto"/>
      </w:divBdr>
    </w:div>
    <w:div w:id="933171925">
      <w:bodyDiv w:val="1"/>
      <w:marLeft w:val="0"/>
      <w:marRight w:val="0"/>
      <w:marTop w:val="0"/>
      <w:marBottom w:val="0"/>
      <w:divBdr>
        <w:top w:val="none" w:sz="0" w:space="0" w:color="auto"/>
        <w:left w:val="none" w:sz="0" w:space="0" w:color="auto"/>
        <w:bottom w:val="none" w:sz="0" w:space="0" w:color="auto"/>
        <w:right w:val="none" w:sz="0" w:space="0" w:color="auto"/>
      </w:divBdr>
    </w:div>
    <w:div w:id="945622890">
      <w:bodyDiv w:val="1"/>
      <w:marLeft w:val="0"/>
      <w:marRight w:val="0"/>
      <w:marTop w:val="0"/>
      <w:marBottom w:val="0"/>
      <w:divBdr>
        <w:top w:val="none" w:sz="0" w:space="0" w:color="auto"/>
        <w:left w:val="none" w:sz="0" w:space="0" w:color="auto"/>
        <w:bottom w:val="none" w:sz="0" w:space="0" w:color="auto"/>
        <w:right w:val="none" w:sz="0" w:space="0" w:color="auto"/>
      </w:divBdr>
    </w:div>
    <w:div w:id="947541417">
      <w:bodyDiv w:val="1"/>
      <w:marLeft w:val="0"/>
      <w:marRight w:val="0"/>
      <w:marTop w:val="0"/>
      <w:marBottom w:val="0"/>
      <w:divBdr>
        <w:top w:val="none" w:sz="0" w:space="0" w:color="auto"/>
        <w:left w:val="none" w:sz="0" w:space="0" w:color="auto"/>
        <w:bottom w:val="none" w:sz="0" w:space="0" w:color="auto"/>
        <w:right w:val="none" w:sz="0" w:space="0" w:color="auto"/>
      </w:divBdr>
    </w:div>
    <w:div w:id="969164590">
      <w:bodyDiv w:val="1"/>
      <w:marLeft w:val="0"/>
      <w:marRight w:val="0"/>
      <w:marTop w:val="0"/>
      <w:marBottom w:val="0"/>
      <w:divBdr>
        <w:top w:val="none" w:sz="0" w:space="0" w:color="auto"/>
        <w:left w:val="none" w:sz="0" w:space="0" w:color="auto"/>
        <w:bottom w:val="none" w:sz="0" w:space="0" w:color="auto"/>
        <w:right w:val="none" w:sz="0" w:space="0" w:color="auto"/>
      </w:divBdr>
    </w:div>
    <w:div w:id="1056394123">
      <w:bodyDiv w:val="1"/>
      <w:marLeft w:val="0"/>
      <w:marRight w:val="0"/>
      <w:marTop w:val="0"/>
      <w:marBottom w:val="0"/>
      <w:divBdr>
        <w:top w:val="none" w:sz="0" w:space="0" w:color="auto"/>
        <w:left w:val="none" w:sz="0" w:space="0" w:color="auto"/>
        <w:bottom w:val="none" w:sz="0" w:space="0" w:color="auto"/>
        <w:right w:val="none" w:sz="0" w:space="0" w:color="auto"/>
      </w:divBdr>
    </w:div>
    <w:div w:id="1091002512">
      <w:bodyDiv w:val="1"/>
      <w:marLeft w:val="0"/>
      <w:marRight w:val="0"/>
      <w:marTop w:val="0"/>
      <w:marBottom w:val="0"/>
      <w:divBdr>
        <w:top w:val="none" w:sz="0" w:space="0" w:color="auto"/>
        <w:left w:val="none" w:sz="0" w:space="0" w:color="auto"/>
        <w:bottom w:val="none" w:sz="0" w:space="0" w:color="auto"/>
        <w:right w:val="none" w:sz="0" w:space="0" w:color="auto"/>
      </w:divBdr>
    </w:div>
    <w:div w:id="1110586307">
      <w:bodyDiv w:val="1"/>
      <w:marLeft w:val="0"/>
      <w:marRight w:val="0"/>
      <w:marTop w:val="0"/>
      <w:marBottom w:val="0"/>
      <w:divBdr>
        <w:top w:val="none" w:sz="0" w:space="0" w:color="auto"/>
        <w:left w:val="none" w:sz="0" w:space="0" w:color="auto"/>
        <w:bottom w:val="none" w:sz="0" w:space="0" w:color="auto"/>
        <w:right w:val="none" w:sz="0" w:space="0" w:color="auto"/>
      </w:divBdr>
    </w:div>
    <w:div w:id="1124349089">
      <w:bodyDiv w:val="1"/>
      <w:marLeft w:val="0"/>
      <w:marRight w:val="0"/>
      <w:marTop w:val="0"/>
      <w:marBottom w:val="0"/>
      <w:divBdr>
        <w:top w:val="none" w:sz="0" w:space="0" w:color="auto"/>
        <w:left w:val="none" w:sz="0" w:space="0" w:color="auto"/>
        <w:bottom w:val="none" w:sz="0" w:space="0" w:color="auto"/>
        <w:right w:val="none" w:sz="0" w:space="0" w:color="auto"/>
      </w:divBdr>
    </w:div>
    <w:div w:id="1130443342">
      <w:bodyDiv w:val="1"/>
      <w:marLeft w:val="0"/>
      <w:marRight w:val="0"/>
      <w:marTop w:val="0"/>
      <w:marBottom w:val="0"/>
      <w:divBdr>
        <w:top w:val="none" w:sz="0" w:space="0" w:color="auto"/>
        <w:left w:val="none" w:sz="0" w:space="0" w:color="auto"/>
        <w:bottom w:val="none" w:sz="0" w:space="0" w:color="auto"/>
        <w:right w:val="none" w:sz="0" w:space="0" w:color="auto"/>
      </w:divBdr>
    </w:div>
    <w:div w:id="1142698702">
      <w:bodyDiv w:val="1"/>
      <w:marLeft w:val="0"/>
      <w:marRight w:val="0"/>
      <w:marTop w:val="0"/>
      <w:marBottom w:val="0"/>
      <w:divBdr>
        <w:top w:val="none" w:sz="0" w:space="0" w:color="auto"/>
        <w:left w:val="none" w:sz="0" w:space="0" w:color="auto"/>
        <w:bottom w:val="none" w:sz="0" w:space="0" w:color="auto"/>
        <w:right w:val="none" w:sz="0" w:space="0" w:color="auto"/>
      </w:divBdr>
    </w:div>
    <w:div w:id="1172528373">
      <w:bodyDiv w:val="1"/>
      <w:marLeft w:val="0"/>
      <w:marRight w:val="0"/>
      <w:marTop w:val="0"/>
      <w:marBottom w:val="0"/>
      <w:divBdr>
        <w:top w:val="none" w:sz="0" w:space="0" w:color="auto"/>
        <w:left w:val="none" w:sz="0" w:space="0" w:color="auto"/>
        <w:bottom w:val="none" w:sz="0" w:space="0" w:color="auto"/>
        <w:right w:val="none" w:sz="0" w:space="0" w:color="auto"/>
      </w:divBdr>
    </w:div>
    <w:div w:id="1175412870">
      <w:bodyDiv w:val="1"/>
      <w:marLeft w:val="0"/>
      <w:marRight w:val="0"/>
      <w:marTop w:val="0"/>
      <w:marBottom w:val="0"/>
      <w:divBdr>
        <w:top w:val="none" w:sz="0" w:space="0" w:color="auto"/>
        <w:left w:val="none" w:sz="0" w:space="0" w:color="auto"/>
        <w:bottom w:val="none" w:sz="0" w:space="0" w:color="auto"/>
        <w:right w:val="none" w:sz="0" w:space="0" w:color="auto"/>
      </w:divBdr>
    </w:div>
    <w:div w:id="1201279182">
      <w:bodyDiv w:val="1"/>
      <w:marLeft w:val="0"/>
      <w:marRight w:val="0"/>
      <w:marTop w:val="0"/>
      <w:marBottom w:val="0"/>
      <w:divBdr>
        <w:top w:val="none" w:sz="0" w:space="0" w:color="auto"/>
        <w:left w:val="none" w:sz="0" w:space="0" w:color="auto"/>
        <w:bottom w:val="none" w:sz="0" w:space="0" w:color="auto"/>
        <w:right w:val="none" w:sz="0" w:space="0" w:color="auto"/>
      </w:divBdr>
    </w:div>
    <w:div w:id="1206943370">
      <w:bodyDiv w:val="1"/>
      <w:marLeft w:val="0"/>
      <w:marRight w:val="0"/>
      <w:marTop w:val="0"/>
      <w:marBottom w:val="0"/>
      <w:divBdr>
        <w:top w:val="none" w:sz="0" w:space="0" w:color="auto"/>
        <w:left w:val="none" w:sz="0" w:space="0" w:color="auto"/>
        <w:bottom w:val="none" w:sz="0" w:space="0" w:color="auto"/>
        <w:right w:val="none" w:sz="0" w:space="0" w:color="auto"/>
      </w:divBdr>
    </w:div>
    <w:div w:id="1258636448">
      <w:bodyDiv w:val="1"/>
      <w:marLeft w:val="0"/>
      <w:marRight w:val="0"/>
      <w:marTop w:val="0"/>
      <w:marBottom w:val="0"/>
      <w:divBdr>
        <w:top w:val="none" w:sz="0" w:space="0" w:color="auto"/>
        <w:left w:val="none" w:sz="0" w:space="0" w:color="auto"/>
        <w:bottom w:val="none" w:sz="0" w:space="0" w:color="auto"/>
        <w:right w:val="none" w:sz="0" w:space="0" w:color="auto"/>
      </w:divBdr>
    </w:div>
    <w:div w:id="1289316188">
      <w:bodyDiv w:val="1"/>
      <w:marLeft w:val="0"/>
      <w:marRight w:val="0"/>
      <w:marTop w:val="0"/>
      <w:marBottom w:val="0"/>
      <w:divBdr>
        <w:top w:val="none" w:sz="0" w:space="0" w:color="auto"/>
        <w:left w:val="none" w:sz="0" w:space="0" w:color="auto"/>
        <w:bottom w:val="none" w:sz="0" w:space="0" w:color="auto"/>
        <w:right w:val="none" w:sz="0" w:space="0" w:color="auto"/>
      </w:divBdr>
    </w:div>
    <w:div w:id="1293947818">
      <w:bodyDiv w:val="1"/>
      <w:marLeft w:val="0"/>
      <w:marRight w:val="0"/>
      <w:marTop w:val="0"/>
      <w:marBottom w:val="0"/>
      <w:divBdr>
        <w:top w:val="none" w:sz="0" w:space="0" w:color="auto"/>
        <w:left w:val="none" w:sz="0" w:space="0" w:color="auto"/>
        <w:bottom w:val="none" w:sz="0" w:space="0" w:color="auto"/>
        <w:right w:val="none" w:sz="0" w:space="0" w:color="auto"/>
      </w:divBdr>
    </w:div>
    <w:div w:id="1328899942">
      <w:bodyDiv w:val="1"/>
      <w:marLeft w:val="0"/>
      <w:marRight w:val="0"/>
      <w:marTop w:val="0"/>
      <w:marBottom w:val="0"/>
      <w:divBdr>
        <w:top w:val="none" w:sz="0" w:space="0" w:color="auto"/>
        <w:left w:val="none" w:sz="0" w:space="0" w:color="auto"/>
        <w:bottom w:val="none" w:sz="0" w:space="0" w:color="auto"/>
        <w:right w:val="none" w:sz="0" w:space="0" w:color="auto"/>
      </w:divBdr>
    </w:div>
    <w:div w:id="1336420890">
      <w:bodyDiv w:val="1"/>
      <w:marLeft w:val="0"/>
      <w:marRight w:val="0"/>
      <w:marTop w:val="0"/>
      <w:marBottom w:val="0"/>
      <w:divBdr>
        <w:top w:val="none" w:sz="0" w:space="0" w:color="auto"/>
        <w:left w:val="none" w:sz="0" w:space="0" w:color="auto"/>
        <w:bottom w:val="none" w:sz="0" w:space="0" w:color="auto"/>
        <w:right w:val="none" w:sz="0" w:space="0" w:color="auto"/>
      </w:divBdr>
    </w:div>
    <w:div w:id="1357194330">
      <w:bodyDiv w:val="1"/>
      <w:marLeft w:val="0"/>
      <w:marRight w:val="0"/>
      <w:marTop w:val="0"/>
      <w:marBottom w:val="0"/>
      <w:divBdr>
        <w:top w:val="none" w:sz="0" w:space="0" w:color="auto"/>
        <w:left w:val="none" w:sz="0" w:space="0" w:color="auto"/>
        <w:bottom w:val="none" w:sz="0" w:space="0" w:color="auto"/>
        <w:right w:val="none" w:sz="0" w:space="0" w:color="auto"/>
      </w:divBdr>
    </w:div>
    <w:div w:id="1357462615">
      <w:bodyDiv w:val="1"/>
      <w:marLeft w:val="0"/>
      <w:marRight w:val="0"/>
      <w:marTop w:val="0"/>
      <w:marBottom w:val="0"/>
      <w:divBdr>
        <w:top w:val="none" w:sz="0" w:space="0" w:color="auto"/>
        <w:left w:val="none" w:sz="0" w:space="0" w:color="auto"/>
        <w:bottom w:val="none" w:sz="0" w:space="0" w:color="auto"/>
        <w:right w:val="none" w:sz="0" w:space="0" w:color="auto"/>
      </w:divBdr>
    </w:div>
    <w:div w:id="1364475629">
      <w:bodyDiv w:val="1"/>
      <w:marLeft w:val="0"/>
      <w:marRight w:val="0"/>
      <w:marTop w:val="0"/>
      <w:marBottom w:val="0"/>
      <w:divBdr>
        <w:top w:val="none" w:sz="0" w:space="0" w:color="auto"/>
        <w:left w:val="none" w:sz="0" w:space="0" w:color="auto"/>
        <w:bottom w:val="none" w:sz="0" w:space="0" w:color="auto"/>
        <w:right w:val="none" w:sz="0" w:space="0" w:color="auto"/>
      </w:divBdr>
    </w:div>
    <w:div w:id="1369179004">
      <w:bodyDiv w:val="1"/>
      <w:marLeft w:val="0"/>
      <w:marRight w:val="0"/>
      <w:marTop w:val="0"/>
      <w:marBottom w:val="0"/>
      <w:divBdr>
        <w:top w:val="none" w:sz="0" w:space="0" w:color="auto"/>
        <w:left w:val="none" w:sz="0" w:space="0" w:color="auto"/>
        <w:bottom w:val="none" w:sz="0" w:space="0" w:color="auto"/>
        <w:right w:val="none" w:sz="0" w:space="0" w:color="auto"/>
      </w:divBdr>
    </w:div>
    <w:div w:id="1370110211">
      <w:bodyDiv w:val="1"/>
      <w:marLeft w:val="0"/>
      <w:marRight w:val="0"/>
      <w:marTop w:val="0"/>
      <w:marBottom w:val="0"/>
      <w:divBdr>
        <w:top w:val="none" w:sz="0" w:space="0" w:color="auto"/>
        <w:left w:val="none" w:sz="0" w:space="0" w:color="auto"/>
        <w:bottom w:val="none" w:sz="0" w:space="0" w:color="auto"/>
        <w:right w:val="none" w:sz="0" w:space="0" w:color="auto"/>
      </w:divBdr>
    </w:div>
    <w:div w:id="1385955945">
      <w:bodyDiv w:val="1"/>
      <w:marLeft w:val="0"/>
      <w:marRight w:val="0"/>
      <w:marTop w:val="0"/>
      <w:marBottom w:val="0"/>
      <w:divBdr>
        <w:top w:val="none" w:sz="0" w:space="0" w:color="auto"/>
        <w:left w:val="none" w:sz="0" w:space="0" w:color="auto"/>
        <w:bottom w:val="none" w:sz="0" w:space="0" w:color="auto"/>
        <w:right w:val="none" w:sz="0" w:space="0" w:color="auto"/>
      </w:divBdr>
    </w:div>
    <w:div w:id="1405296563">
      <w:bodyDiv w:val="1"/>
      <w:marLeft w:val="0"/>
      <w:marRight w:val="0"/>
      <w:marTop w:val="0"/>
      <w:marBottom w:val="0"/>
      <w:divBdr>
        <w:top w:val="none" w:sz="0" w:space="0" w:color="auto"/>
        <w:left w:val="none" w:sz="0" w:space="0" w:color="auto"/>
        <w:bottom w:val="none" w:sz="0" w:space="0" w:color="auto"/>
        <w:right w:val="none" w:sz="0" w:space="0" w:color="auto"/>
      </w:divBdr>
    </w:div>
    <w:div w:id="1405297062">
      <w:bodyDiv w:val="1"/>
      <w:marLeft w:val="0"/>
      <w:marRight w:val="0"/>
      <w:marTop w:val="0"/>
      <w:marBottom w:val="0"/>
      <w:divBdr>
        <w:top w:val="none" w:sz="0" w:space="0" w:color="auto"/>
        <w:left w:val="none" w:sz="0" w:space="0" w:color="auto"/>
        <w:bottom w:val="none" w:sz="0" w:space="0" w:color="auto"/>
        <w:right w:val="none" w:sz="0" w:space="0" w:color="auto"/>
      </w:divBdr>
    </w:div>
    <w:div w:id="1409963870">
      <w:bodyDiv w:val="1"/>
      <w:marLeft w:val="0"/>
      <w:marRight w:val="0"/>
      <w:marTop w:val="0"/>
      <w:marBottom w:val="0"/>
      <w:divBdr>
        <w:top w:val="none" w:sz="0" w:space="0" w:color="auto"/>
        <w:left w:val="none" w:sz="0" w:space="0" w:color="auto"/>
        <w:bottom w:val="none" w:sz="0" w:space="0" w:color="auto"/>
        <w:right w:val="none" w:sz="0" w:space="0" w:color="auto"/>
      </w:divBdr>
    </w:div>
    <w:div w:id="1438404736">
      <w:bodyDiv w:val="1"/>
      <w:marLeft w:val="0"/>
      <w:marRight w:val="0"/>
      <w:marTop w:val="0"/>
      <w:marBottom w:val="0"/>
      <w:divBdr>
        <w:top w:val="none" w:sz="0" w:space="0" w:color="auto"/>
        <w:left w:val="none" w:sz="0" w:space="0" w:color="auto"/>
        <w:bottom w:val="none" w:sz="0" w:space="0" w:color="auto"/>
        <w:right w:val="none" w:sz="0" w:space="0" w:color="auto"/>
      </w:divBdr>
    </w:div>
    <w:div w:id="1457866260">
      <w:bodyDiv w:val="1"/>
      <w:marLeft w:val="0"/>
      <w:marRight w:val="0"/>
      <w:marTop w:val="0"/>
      <w:marBottom w:val="0"/>
      <w:divBdr>
        <w:top w:val="none" w:sz="0" w:space="0" w:color="auto"/>
        <w:left w:val="none" w:sz="0" w:space="0" w:color="auto"/>
        <w:bottom w:val="none" w:sz="0" w:space="0" w:color="auto"/>
        <w:right w:val="none" w:sz="0" w:space="0" w:color="auto"/>
      </w:divBdr>
    </w:div>
    <w:div w:id="1461264472">
      <w:bodyDiv w:val="1"/>
      <w:marLeft w:val="0"/>
      <w:marRight w:val="0"/>
      <w:marTop w:val="0"/>
      <w:marBottom w:val="0"/>
      <w:divBdr>
        <w:top w:val="none" w:sz="0" w:space="0" w:color="auto"/>
        <w:left w:val="none" w:sz="0" w:space="0" w:color="auto"/>
        <w:bottom w:val="none" w:sz="0" w:space="0" w:color="auto"/>
        <w:right w:val="none" w:sz="0" w:space="0" w:color="auto"/>
      </w:divBdr>
    </w:div>
    <w:div w:id="1478569202">
      <w:bodyDiv w:val="1"/>
      <w:marLeft w:val="0"/>
      <w:marRight w:val="0"/>
      <w:marTop w:val="0"/>
      <w:marBottom w:val="0"/>
      <w:divBdr>
        <w:top w:val="none" w:sz="0" w:space="0" w:color="auto"/>
        <w:left w:val="none" w:sz="0" w:space="0" w:color="auto"/>
        <w:bottom w:val="none" w:sz="0" w:space="0" w:color="auto"/>
        <w:right w:val="none" w:sz="0" w:space="0" w:color="auto"/>
      </w:divBdr>
    </w:div>
    <w:div w:id="1550141713">
      <w:bodyDiv w:val="1"/>
      <w:marLeft w:val="0"/>
      <w:marRight w:val="0"/>
      <w:marTop w:val="0"/>
      <w:marBottom w:val="0"/>
      <w:divBdr>
        <w:top w:val="none" w:sz="0" w:space="0" w:color="auto"/>
        <w:left w:val="none" w:sz="0" w:space="0" w:color="auto"/>
        <w:bottom w:val="none" w:sz="0" w:space="0" w:color="auto"/>
        <w:right w:val="none" w:sz="0" w:space="0" w:color="auto"/>
      </w:divBdr>
    </w:div>
    <w:div w:id="1550871868">
      <w:bodyDiv w:val="1"/>
      <w:marLeft w:val="0"/>
      <w:marRight w:val="0"/>
      <w:marTop w:val="0"/>
      <w:marBottom w:val="0"/>
      <w:divBdr>
        <w:top w:val="none" w:sz="0" w:space="0" w:color="auto"/>
        <w:left w:val="none" w:sz="0" w:space="0" w:color="auto"/>
        <w:bottom w:val="none" w:sz="0" w:space="0" w:color="auto"/>
        <w:right w:val="none" w:sz="0" w:space="0" w:color="auto"/>
      </w:divBdr>
    </w:div>
    <w:div w:id="1569919097">
      <w:bodyDiv w:val="1"/>
      <w:marLeft w:val="0"/>
      <w:marRight w:val="0"/>
      <w:marTop w:val="0"/>
      <w:marBottom w:val="0"/>
      <w:divBdr>
        <w:top w:val="none" w:sz="0" w:space="0" w:color="auto"/>
        <w:left w:val="none" w:sz="0" w:space="0" w:color="auto"/>
        <w:bottom w:val="none" w:sz="0" w:space="0" w:color="auto"/>
        <w:right w:val="none" w:sz="0" w:space="0" w:color="auto"/>
      </w:divBdr>
    </w:div>
    <w:div w:id="1609703484">
      <w:bodyDiv w:val="1"/>
      <w:marLeft w:val="0"/>
      <w:marRight w:val="0"/>
      <w:marTop w:val="0"/>
      <w:marBottom w:val="0"/>
      <w:divBdr>
        <w:top w:val="none" w:sz="0" w:space="0" w:color="auto"/>
        <w:left w:val="none" w:sz="0" w:space="0" w:color="auto"/>
        <w:bottom w:val="none" w:sz="0" w:space="0" w:color="auto"/>
        <w:right w:val="none" w:sz="0" w:space="0" w:color="auto"/>
      </w:divBdr>
    </w:div>
    <w:div w:id="1616137862">
      <w:bodyDiv w:val="1"/>
      <w:marLeft w:val="0"/>
      <w:marRight w:val="0"/>
      <w:marTop w:val="0"/>
      <w:marBottom w:val="0"/>
      <w:divBdr>
        <w:top w:val="none" w:sz="0" w:space="0" w:color="auto"/>
        <w:left w:val="none" w:sz="0" w:space="0" w:color="auto"/>
        <w:bottom w:val="none" w:sz="0" w:space="0" w:color="auto"/>
        <w:right w:val="none" w:sz="0" w:space="0" w:color="auto"/>
      </w:divBdr>
    </w:div>
    <w:div w:id="1681007682">
      <w:bodyDiv w:val="1"/>
      <w:marLeft w:val="0"/>
      <w:marRight w:val="0"/>
      <w:marTop w:val="0"/>
      <w:marBottom w:val="0"/>
      <w:divBdr>
        <w:top w:val="none" w:sz="0" w:space="0" w:color="auto"/>
        <w:left w:val="none" w:sz="0" w:space="0" w:color="auto"/>
        <w:bottom w:val="none" w:sz="0" w:space="0" w:color="auto"/>
        <w:right w:val="none" w:sz="0" w:space="0" w:color="auto"/>
      </w:divBdr>
    </w:div>
    <w:div w:id="1688213063">
      <w:bodyDiv w:val="1"/>
      <w:marLeft w:val="0"/>
      <w:marRight w:val="0"/>
      <w:marTop w:val="0"/>
      <w:marBottom w:val="0"/>
      <w:divBdr>
        <w:top w:val="none" w:sz="0" w:space="0" w:color="auto"/>
        <w:left w:val="none" w:sz="0" w:space="0" w:color="auto"/>
        <w:bottom w:val="none" w:sz="0" w:space="0" w:color="auto"/>
        <w:right w:val="none" w:sz="0" w:space="0" w:color="auto"/>
      </w:divBdr>
    </w:div>
    <w:div w:id="1719206586">
      <w:bodyDiv w:val="1"/>
      <w:marLeft w:val="0"/>
      <w:marRight w:val="0"/>
      <w:marTop w:val="0"/>
      <w:marBottom w:val="0"/>
      <w:divBdr>
        <w:top w:val="none" w:sz="0" w:space="0" w:color="auto"/>
        <w:left w:val="none" w:sz="0" w:space="0" w:color="auto"/>
        <w:bottom w:val="none" w:sz="0" w:space="0" w:color="auto"/>
        <w:right w:val="none" w:sz="0" w:space="0" w:color="auto"/>
      </w:divBdr>
    </w:div>
    <w:div w:id="1728990194">
      <w:bodyDiv w:val="1"/>
      <w:marLeft w:val="0"/>
      <w:marRight w:val="0"/>
      <w:marTop w:val="0"/>
      <w:marBottom w:val="0"/>
      <w:divBdr>
        <w:top w:val="none" w:sz="0" w:space="0" w:color="auto"/>
        <w:left w:val="none" w:sz="0" w:space="0" w:color="auto"/>
        <w:bottom w:val="none" w:sz="0" w:space="0" w:color="auto"/>
        <w:right w:val="none" w:sz="0" w:space="0" w:color="auto"/>
      </w:divBdr>
    </w:div>
    <w:div w:id="1739018297">
      <w:bodyDiv w:val="1"/>
      <w:marLeft w:val="0"/>
      <w:marRight w:val="0"/>
      <w:marTop w:val="0"/>
      <w:marBottom w:val="0"/>
      <w:divBdr>
        <w:top w:val="none" w:sz="0" w:space="0" w:color="auto"/>
        <w:left w:val="none" w:sz="0" w:space="0" w:color="auto"/>
        <w:bottom w:val="none" w:sz="0" w:space="0" w:color="auto"/>
        <w:right w:val="none" w:sz="0" w:space="0" w:color="auto"/>
      </w:divBdr>
    </w:div>
    <w:div w:id="1742871889">
      <w:bodyDiv w:val="1"/>
      <w:marLeft w:val="0"/>
      <w:marRight w:val="0"/>
      <w:marTop w:val="0"/>
      <w:marBottom w:val="0"/>
      <w:divBdr>
        <w:top w:val="none" w:sz="0" w:space="0" w:color="auto"/>
        <w:left w:val="none" w:sz="0" w:space="0" w:color="auto"/>
        <w:bottom w:val="none" w:sz="0" w:space="0" w:color="auto"/>
        <w:right w:val="none" w:sz="0" w:space="0" w:color="auto"/>
      </w:divBdr>
    </w:div>
    <w:div w:id="1754350698">
      <w:bodyDiv w:val="1"/>
      <w:marLeft w:val="0"/>
      <w:marRight w:val="0"/>
      <w:marTop w:val="0"/>
      <w:marBottom w:val="0"/>
      <w:divBdr>
        <w:top w:val="none" w:sz="0" w:space="0" w:color="auto"/>
        <w:left w:val="none" w:sz="0" w:space="0" w:color="auto"/>
        <w:bottom w:val="none" w:sz="0" w:space="0" w:color="auto"/>
        <w:right w:val="none" w:sz="0" w:space="0" w:color="auto"/>
      </w:divBdr>
    </w:div>
    <w:div w:id="1804150419">
      <w:bodyDiv w:val="1"/>
      <w:marLeft w:val="0"/>
      <w:marRight w:val="0"/>
      <w:marTop w:val="0"/>
      <w:marBottom w:val="0"/>
      <w:divBdr>
        <w:top w:val="none" w:sz="0" w:space="0" w:color="auto"/>
        <w:left w:val="none" w:sz="0" w:space="0" w:color="auto"/>
        <w:bottom w:val="none" w:sz="0" w:space="0" w:color="auto"/>
        <w:right w:val="none" w:sz="0" w:space="0" w:color="auto"/>
      </w:divBdr>
    </w:div>
    <w:div w:id="1804619190">
      <w:bodyDiv w:val="1"/>
      <w:marLeft w:val="0"/>
      <w:marRight w:val="0"/>
      <w:marTop w:val="0"/>
      <w:marBottom w:val="0"/>
      <w:divBdr>
        <w:top w:val="none" w:sz="0" w:space="0" w:color="auto"/>
        <w:left w:val="none" w:sz="0" w:space="0" w:color="auto"/>
        <w:bottom w:val="none" w:sz="0" w:space="0" w:color="auto"/>
        <w:right w:val="none" w:sz="0" w:space="0" w:color="auto"/>
      </w:divBdr>
    </w:div>
    <w:div w:id="1808887137">
      <w:bodyDiv w:val="1"/>
      <w:marLeft w:val="0"/>
      <w:marRight w:val="0"/>
      <w:marTop w:val="0"/>
      <w:marBottom w:val="0"/>
      <w:divBdr>
        <w:top w:val="none" w:sz="0" w:space="0" w:color="auto"/>
        <w:left w:val="none" w:sz="0" w:space="0" w:color="auto"/>
        <w:bottom w:val="none" w:sz="0" w:space="0" w:color="auto"/>
        <w:right w:val="none" w:sz="0" w:space="0" w:color="auto"/>
      </w:divBdr>
    </w:div>
    <w:div w:id="1883131082">
      <w:bodyDiv w:val="1"/>
      <w:marLeft w:val="0"/>
      <w:marRight w:val="0"/>
      <w:marTop w:val="0"/>
      <w:marBottom w:val="0"/>
      <w:divBdr>
        <w:top w:val="none" w:sz="0" w:space="0" w:color="auto"/>
        <w:left w:val="none" w:sz="0" w:space="0" w:color="auto"/>
        <w:bottom w:val="none" w:sz="0" w:space="0" w:color="auto"/>
        <w:right w:val="none" w:sz="0" w:space="0" w:color="auto"/>
      </w:divBdr>
      <w:divsChild>
        <w:div w:id="1396661497">
          <w:marLeft w:val="0"/>
          <w:marRight w:val="0"/>
          <w:marTop w:val="0"/>
          <w:marBottom w:val="0"/>
          <w:divBdr>
            <w:top w:val="none" w:sz="0" w:space="0" w:color="auto"/>
            <w:left w:val="none" w:sz="0" w:space="0" w:color="auto"/>
            <w:bottom w:val="none" w:sz="0" w:space="0" w:color="auto"/>
            <w:right w:val="none" w:sz="0" w:space="0" w:color="auto"/>
          </w:divBdr>
        </w:div>
      </w:divsChild>
    </w:div>
    <w:div w:id="1885864718">
      <w:bodyDiv w:val="1"/>
      <w:marLeft w:val="0"/>
      <w:marRight w:val="0"/>
      <w:marTop w:val="0"/>
      <w:marBottom w:val="0"/>
      <w:divBdr>
        <w:top w:val="none" w:sz="0" w:space="0" w:color="auto"/>
        <w:left w:val="none" w:sz="0" w:space="0" w:color="auto"/>
        <w:bottom w:val="none" w:sz="0" w:space="0" w:color="auto"/>
        <w:right w:val="none" w:sz="0" w:space="0" w:color="auto"/>
      </w:divBdr>
    </w:div>
    <w:div w:id="1891646120">
      <w:bodyDiv w:val="1"/>
      <w:marLeft w:val="0"/>
      <w:marRight w:val="0"/>
      <w:marTop w:val="0"/>
      <w:marBottom w:val="0"/>
      <w:divBdr>
        <w:top w:val="none" w:sz="0" w:space="0" w:color="auto"/>
        <w:left w:val="none" w:sz="0" w:space="0" w:color="auto"/>
        <w:bottom w:val="none" w:sz="0" w:space="0" w:color="auto"/>
        <w:right w:val="none" w:sz="0" w:space="0" w:color="auto"/>
      </w:divBdr>
    </w:div>
    <w:div w:id="1957254951">
      <w:bodyDiv w:val="1"/>
      <w:marLeft w:val="0"/>
      <w:marRight w:val="0"/>
      <w:marTop w:val="0"/>
      <w:marBottom w:val="0"/>
      <w:divBdr>
        <w:top w:val="none" w:sz="0" w:space="0" w:color="auto"/>
        <w:left w:val="none" w:sz="0" w:space="0" w:color="auto"/>
        <w:bottom w:val="none" w:sz="0" w:space="0" w:color="auto"/>
        <w:right w:val="none" w:sz="0" w:space="0" w:color="auto"/>
      </w:divBdr>
    </w:div>
    <w:div w:id="1959985785">
      <w:bodyDiv w:val="1"/>
      <w:marLeft w:val="0"/>
      <w:marRight w:val="0"/>
      <w:marTop w:val="0"/>
      <w:marBottom w:val="0"/>
      <w:divBdr>
        <w:top w:val="none" w:sz="0" w:space="0" w:color="auto"/>
        <w:left w:val="none" w:sz="0" w:space="0" w:color="auto"/>
        <w:bottom w:val="none" w:sz="0" w:space="0" w:color="auto"/>
        <w:right w:val="none" w:sz="0" w:space="0" w:color="auto"/>
      </w:divBdr>
    </w:div>
    <w:div w:id="1963531530">
      <w:bodyDiv w:val="1"/>
      <w:marLeft w:val="0"/>
      <w:marRight w:val="0"/>
      <w:marTop w:val="0"/>
      <w:marBottom w:val="0"/>
      <w:divBdr>
        <w:top w:val="none" w:sz="0" w:space="0" w:color="auto"/>
        <w:left w:val="none" w:sz="0" w:space="0" w:color="auto"/>
        <w:bottom w:val="none" w:sz="0" w:space="0" w:color="auto"/>
        <w:right w:val="none" w:sz="0" w:space="0" w:color="auto"/>
      </w:divBdr>
    </w:div>
    <w:div w:id="1968392552">
      <w:bodyDiv w:val="1"/>
      <w:marLeft w:val="0"/>
      <w:marRight w:val="0"/>
      <w:marTop w:val="0"/>
      <w:marBottom w:val="0"/>
      <w:divBdr>
        <w:top w:val="none" w:sz="0" w:space="0" w:color="auto"/>
        <w:left w:val="none" w:sz="0" w:space="0" w:color="auto"/>
        <w:bottom w:val="none" w:sz="0" w:space="0" w:color="auto"/>
        <w:right w:val="none" w:sz="0" w:space="0" w:color="auto"/>
      </w:divBdr>
    </w:div>
    <w:div w:id="1974946394">
      <w:bodyDiv w:val="1"/>
      <w:marLeft w:val="0"/>
      <w:marRight w:val="0"/>
      <w:marTop w:val="0"/>
      <w:marBottom w:val="0"/>
      <w:divBdr>
        <w:top w:val="none" w:sz="0" w:space="0" w:color="auto"/>
        <w:left w:val="none" w:sz="0" w:space="0" w:color="auto"/>
        <w:bottom w:val="none" w:sz="0" w:space="0" w:color="auto"/>
        <w:right w:val="none" w:sz="0" w:space="0" w:color="auto"/>
      </w:divBdr>
    </w:div>
    <w:div w:id="2005165389">
      <w:bodyDiv w:val="1"/>
      <w:marLeft w:val="0"/>
      <w:marRight w:val="0"/>
      <w:marTop w:val="0"/>
      <w:marBottom w:val="0"/>
      <w:divBdr>
        <w:top w:val="none" w:sz="0" w:space="0" w:color="auto"/>
        <w:left w:val="none" w:sz="0" w:space="0" w:color="auto"/>
        <w:bottom w:val="none" w:sz="0" w:space="0" w:color="auto"/>
        <w:right w:val="none" w:sz="0" w:space="0" w:color="auto"/>
      </w:divBdr>
    </w:div>
    <w:div w:id="2023698345">
      <w:bodyDiv w:val="1"/>
      <w:marLeft w:val="0"/>
      <w:marRight w:val="0"/>
      <w:marTop w:val="0"/>
      <w:marBottom w:val="0"/>
      <w:divBdr>
        <w:top w:val="none" w:sz="0" w:space="0" w:color="auto"/>
        <w:left w:val="none" w:sz="0" w:space="0" w:color="auto"/>
        <w:bottom w:val="none" w:sz="0" w:space="0" w:color="auto"/>
        <w:right w:val="none" w:sz="0" w:space="0" w:color="auto"/>
      </w:divBdr>
    </w:div>
    <w:div w:id="2036731437">
      <w:bodyDiv w:val="1"/>
      <w:marLeft w:val="0"/>
      <w:marRight w:val="0"/>
      <w:marTop w:val="0"/>
      <w:marBottom w:val="0"/>
      <w:divBdr>
        <w:top w:val="none" w:sz="0" w:space="0" w:color="auto"/>
        <w:left w:val="none" w:sz="0" w:space="0" w:color="auto"/>
        <w:bottom w:val="none" w:sz="0" w:space="0" w:color="auto"/>
        <w:right w:val="none" w:sz="0" w:space="0" w:color="auto"/>
      </w:divBdr>
    </w:div>
    <w:div w:id="2062435841">
      <w:bodyDiv w:val="1"/>
      <w:marLeft w:val="0"/>
      <w:marRight w:val="0"/>
      <w:marTop w:val="0"/>
      <w:marBottom w:val="0"/>
      <w:divBdr>
        <w:top w:val="none" w:sz="0" w:space="0" w:color="auto"/>
        <w:left w:val="none" w:sz="0" w:space="0" w:color="auto"/>
        <w:bottom w:val="none" w:sz="0" w:space="0" w:color="auto"/>
        <w:right w:val="none" w:sz="0" w:space="0" w:color="auto"/>
      </w:divBdr>
    </w:div>
    <w:div w:id="2071734759">
      <w:bodyDiv w:val="1"/>
      <w:marLeft w:val="0"/>
      <w:marRight w:val="0"/>
      <w:marTop w:val="0"/>
      <w:marBottom w:val="0"/>
      <w:divBdr>
        <w:top w:val="none" w:sz="0" w:space="0" w:color="auto"/>
        <w:left w:val="none" w:sz="0" w:space="0" w:color="auto"/>
        <w:bottom w:val="none" w:sz="0" w:space="0" w:color="auto"/>
        <w:right w:val="none" w:sz="0" w:space="0" w:color="auto"/>
      </w:divBdr>
    </w:div>
    <w:div w:id="209685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ncbi.nlm.nih.gov/protein/WP_026963033.1?report=genbank&amp;log$=prottop&amp;blast_rank=1&amp;RID=T2JDKDKK016"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62F311-FF19-422A-AF1C-567365924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25</Pages>
  <Words>29241</Words>
  <Characters>166680</Characters>
  <Application>Microsoft Office Word</Application>
  <DocSecurity>0</DocSecurity>
  <Lines>1389</Lines>
  <Paragraphs>391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195530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Lidia Delgado</dc:creator>
  <cp:lastModifiedBy>Paradisi, Francesca (DCB)</cp:lastModifiedBy>
  <cp:revision>4</cp:revision>
  <cp:lastPrinted>2019-06-26T10:10:00Z</cp:lastPrinted>
  <dcterms:created xsi:type="dcterms:W3CDTF">2020-11-24T10:19:00Z</dcterms:created>
  <dcterms:modified xsi:type="dcterms:W3CDTF">2020-11-25T14:46:00Z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http://www.zotero.org/styles/acs-sustainable-chemistry-and-engineering</vt:lpwstr>
  </property>
  <property fmtid="{D5CDD505-2E9C-101B-9397-08002B2CF9AE}" pid="3" name="Mendeley Recent Style Name 0_1">
    <vt:lpwstr>ACS Sustainable Chemistry &amp; Engineering</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http://www.zotero.org/styles/angewandte-chemie</vt:lpwstr>
  </property>
  <property fmtid="{D5CDD505-2E9C-101B-9397-08002B2CF9AE}" pid="7" name="Mendeley Recent Style Name 2_1">
    <vt:lpwstr>Angewandte Chemie International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http://www.zotero.org/styles/rsc-advances</vt:lpwstr>
  </property>
  <property fmtid="{D5CDD505-2E9C-101B-9397-08002B2CF9AE}" pid="21" name="Mendeley Recent Style Name 9_1">
    <vt:lpwstr>RSC Advances</vt:lpwstr>
  </property>
  <property fmtid="{D5CDD505-2E9C-101B-9397-08002B2CF9AE}" pid="22" name="Mendeley Citation Style_1">
    <vt:lpwstr>http://www.zotero.org/styles/angewandte-chemie</vt:lpwstr>
  </property>
  <property fmtid="{D5CDD505-2E9C-101B-9397-08002B2CF9AE}" pid="23" name="Mendeley Document_1">
    <vt:lpwstr>True</vt:lpwstr>
  </property>
  <property fmtid="{D5CDD505-2E9C-101B-9397-08002B2CF9AE}" pid="24" name="Mendeley Unique User Id_1">
    <vt:lpwstr>0635f644-106d-3f01-9499-a0be7abdd4c7</vt:lpwstr>
  </property>
</Properties>
</file>