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5E" w:rsidRPr="003B0473" w:rsidRDefault="00F3745E" w:rsidP="00F3745E">
      <w:pPr>
        <w:spacing w:line="276" w:lineRule="auto"/>
        <w:rPr>
          <w:b/>
          <w:lang w:val="en-US"/>
        </w:rPr>
      </w:pPr>
      <w:bookmarkStart w:id="0" w:name="_GoBack"/>
      <w:bookmarkEnd w:id="0"/>
      <w:r w:rsidRPr="003B0473">
        <w:rPr>
          <w:b/>
          <w:lang w:val="en-US"/>
        </w:rPr>
        <w:t xml:space="preserve">From Personal Network to Institution Building: </w:t>
      </w:r>
    </w:p>
    <w:p w:rsidR="00F3745E" w:rsidRPr="003B0473" w:rsidRDefault="00F3745E" w:rsidP="00F3745E">
      <w:pPr>
        <w:rPr>
          <w:b/>
          <w:lang w:val="en-US"/>
        </w:rPr>
      </w:pPr>
      <w:r>
        <w:rPr>
          <w:b/>
          <w:lang w:val="en-US"/>
        </w:rPr>
        <w:t xml:space="preserve">The </w:t>
      </w:r>
      <w:proofErr w:type="spellStart"/>
      <w:r w:rsidRPr="00BE19E8">
        <w:rPr>
          <w:b/>
          <w:lang w:val="en-US"/>
        </w:rPr>
        <w:t>Lifanyuan</w:t>
      </w:r>
      <w:proofErr w:type="spellEnd"/>
      <w:r w:rsidR="000853A7" w:rsidRPr="00BE19E8">
        <w:rPr>
          <w:b/>
          <w:lang w:val="en-US"/>
        </w:rPr>
        <w:t>, Gift Exchange</w:t>
      </w:r>
      <w:r w:rsidRPr="00BE19E8">
        <w:rPr>
          <w:b/>
          <w:lang w:val="en-US"/>
        </w:rPr>
        <w:t xml:space="preserve"> and</w:t>
      </w:r>
      <w:r>
        <w:rPr>
          <w:b/>
          <w:lang w:val="en-US"/>
        </w:rPr>
        <w:t xml:space="preserve"> the Formalization of Manchu-Mongol Relations</w:t>
      </w:r>
    </w:p>
    <w:p w:rsidR="00F3745E" w:rsidRDefault="0070044B" w:rsidP="0070044B">
      <w:pPr>
        <w:rPr>
          <w:lang w:val="en-US"/>
        </w:rPr>
      </w:pPr>
      <w:r>
        <w:rPr>
          <w:lang w:val="en-US"/>
        </w:rPr>
        <w:t>Dorothea Heuschert-Laage</w:t>
      </w:r>
    </w:p>
    <w:p w:rsidR="0070044B" w:rsidRDefault="0070044B" w:rsidP="00F3745E">
      <w:pPr>
        <w:jc w:val="center"/>
        <w:rPr>
          <w:lang w:val="en-US"/>
        </w:rPr>
      </w:pPr>
    </w:p>
    <w:p w:rsidR="00066EBD" w:rsidRPr="00066EBD" w:rsidRDefault="00066EBD" w:rsidP="00305C61">
      <w:pPr>
        <w:jc w:val="both"/>
        <w:rPr>
          <w:b/>
          <w:lang w:val="en-US"/>
        </w:rPr>
      </w:pPr>
      <w:r w:rsidRPr="00066EBD">
        <w:rPr>
          <w:b/>
          <w:lang w:val="en-US"/>
        </w:rPr>
        <w:t>Introduction</w:t>
      </w:r>
    </w:p>
    <w:p w:rsidR="00853C32" w:rsidRDefault="00201DCF" w:rsidP="00305C61">
      <w:pPr>
        <w:jc w:val="both"/>
        <w:rPr>
          <w:lang w:val="en-US"/>
        </w:rPr>
      </w:pPr>
      <w:r>
        <w:rPr>
          <w:lang w:val="en-US"/>
        </w:rPr>
        <w:t>T</w:t>
      </w:r>
      <w:r w:rsidR="00637428" w:rsidRPr="00637428">
        <w:rPr>
          <w:lang w:val="en-US"/>
        </w:rPr>
        <w:t xml:space="preserve">he Qing </w:t>
      </w:r>
      <w:r>
        <w:rPr>
          <w:lang w:val="en-US"/>
        </w:rPr>
        <w:t xml:space="preserve">emperors </w:t>
      </w:r>
      <w:r w:rsidR="00E455ED">
        <w:rPr>
          <w:lang w:val="en-US"/>
        </w:rPr>
        <w:t xml:space="preserve">(1636-1911) </w:t>
      </w:r>
      <w:r>
        <w:rPr>
          <w:lang w:val="en-US"/>
        </w:rPr>
        <w:t>during the 17</w:t>
      </w:r>
      <w:r w:rsidRPr="00201DCF">
        <w:rPr>
          <w:vertAlign w:val="superscript"/>
          <w:lang w:val="en-US"/>
        </w:rPr>
        <w:t>th</w:t>
      </w:r>
      <w:r>
        <w:rPr>
          <w:lang w:val="en-US"/>
        </w:rPr>
        <w:t xml:space="preserve"> and 18</w:t>
      </w:r>
      <w:r w:rsidRPr="00201DCF">
        <w:rPr>
          <w:vertAlign w:val="superscript"/>
          <w:lang w:val="en-US"/>
        </w:rPr>
        <w:t>th</w:t>
      </w:r>
      <w:r>
        <w:rPr>
          <w:lang w:val="en-US"/>
        </w:rPr>
        <w:t xml:space="preserve"> century centuries </w:t>
      </w:r>
      <w:r w:rsidR="00637428" w:rsidRPr="00637428">
        <w:rPr>
          <w:lang w:val="en-US"/>
        </w:rPr>
        <w:t>expanded the boundaries of China into Inner Asia</w:t>
      </w:r>
      <w:r>
        <w:rPr>
          <w:lang w:val="en-US"/>
        </w:rPr>
        <w:t xml:space="preserve"> to an </w:t>
      </w:r>
      <w:r w:rsidR="001D195D">
        <w:rPr>
          <w:lang w:val="en-US"/>
        </w:rPr>
        <w:t>unprecedented</w:t>
      </w:r>
      <w:r>
        <w:rPr>
          <w:lang w:val="en-US"/>
        </w:rPr>
        <w:t xml:space="preserve"> degree</w:t>
      </w:r>
      <w:r w:rsidR="00637428" w:rsidRPr="00637428">
        <w:rPr>
          <w:lang w:val="en-US"/>
        </w:rPr>
        <w:t xml:space="preserve">. </w:t>
      </w:r>
      <w:r>
        <w:rPr>
          <w:lang w:val="en-US"/>
        </w:rPr>
        <w:t xml:space="preserve">Substantial parts of </w:t>
      </w:r>
      <w:r w:rsidR="002C1D00">
        <w:rPr>
          <w:lang w:val="en-US"/>
        </w:rPr>
        <w:t>Mongol</w:t>
      </w:r>
      <w:r w:rsidR="00637428" w:rsidRPr="00637428">
        <w:rPr>
          <w:lang w:val="en-US"/>
        </w:rPr>
        <w:t xml:space="preserve"> and Tibetan territories, as well as today’s X</w:t>
      </w:r>
      <w:r w:rsidR="006E38B1">
        <w:rPr>
          <w:lang w:val="en-US"/>
        </w:rPr>
        <w:t>injiang were brought under the rule</w:t>
      </w:r>
      <w:r w:rsidR="00637428" w:rsidRPr="00637428">
        <w:rPr>
          <w:lang w:val="en-US"/>
        </w:rPr>
        <w:t xml:space="preserve"> of the dynasty. As a result, the Qing </w:t>
      </w:r>
      <w:r w:rsidR="00637428">
        <w:rPr>
          <w:lang w:val="en-US"/>
        </w:rPr>
        <w:t>government</w:t>
      </w:r>
      <w:r w:rsidR="00637428" w:rsidRPr="00637428">
        <w:rPr>
          <w:lang w:val="en-US"/>
        </w:rPr>
        <w:t xml:space="preserve"> faced the challenge </w:t>
      </w:r>
      <w:r w:rsidR="001C7CB8" w:rsidRPr="00637428">
        <w:rPr>
          <w:lang w:val="en-US"/>
        </w:rPr>
        <w:t xml:space="preserve">of integrating </w:t>
      </w:r>
      <w:r w:rsidR="001C7CB8">
        <w:rPr>
          <w:lang w:val="en-US"/>
        </w:rPr>
        <w:t xml:space="preserve">the administration of </w:t>
      </w:r>
      <w:r w:rsidR="001C7CB8" w:rsidRPr="00637428">
        <w:rPr>
          <w:lang w:val="en-US"/>
        </w:rPr>
        <w:t xml:space="preserve">newly acquired territories and peoples into the </w:t>
      </w:r>
      <w:r w:rsidR="001C7CB8">
        <w:rPr>
          <w:lang w:val="en-US"/>
        </w:rPr>
        <w:t>structures of their state</w:t>
      </w:r>
      <w:r w:rsidR="00637428" w:rsidRPr="00637428">
        <w:rPr>
          <w:lang w:val="en-US"/>
        </w:rPr>
        <w:t>.</w:t>
      </w:r>
      <w:r w:rsidR="00637428">
        <w:rPr>
          <w:lang w:val="en-US"/>
        </w:rPr>
        <w:t xml:space="preserve"> </w:t>
      </w:r>
      <w:r w:rsidR="006E38B1">
        <w:rPr>
          <w:lang w:val="en-US"/>
        </w:rPr>
        <w:t>The question of h</w:t>
      </w:r>
      <w:r w:rsidR="006E7DD2">
        <w:rPr>
          <w:lang w:val="en-US"/>
        </w:rPr>
        <w:t>ow the Qing manage</w:t>
      </w:r>
      <w:r w:rsidR="006E38B1">
        <w:rPr>
          <w:lang w:val="en-US"/>
        </w:rPr>
        <w:t>d</w:t>
      </w:r>
      <w:r w:rsidR="006E7DD2">
        <w:rPr>
          <w:lang w:val="en-US"/>
        </w:rPr>
        <w:t xml:space="preserve"> to </w:t>
      </w:r>
      <w:r w:rsidR="00FF7329">
        <w:rPr>
          <w:lang w:val="en-US"/>
        </w:rPr>
        <w:t xml:space="preserve">affiliate </w:t>
      </w:r>
      <w:r w:rsidR="006E7DD2">
        <w:rPr>
          <w:lang w:val="en-US"/>
        </w:rPr>
        <w:t xml:space="preserve">various Inner Asian peoples </w:t>
      </w:r>
      <w:r w:rsidR="00FF7329">
        <w:rPr>
          <w:lang w:val="en-US"/>
        </w:rPr>
        <w:t>with</w:t>
      </w:r>
      <w:r w:rsidR="006E7DD2">
        <w:rPr>
          <w:lang w:val="en-US"/>
        </w:rPr>
        <w:t xml:space="preserve"> a</w:t>
      </w:r>
      <w:r w:rsidR="006E38B1">
        <w:rPr>
          <w:lang w:val="en-US"/>
        </w:rPr>
        <w:t>n administrative system</w:t>
      </w:r>
      <w:r w:rsidR="006E7DD2">
        <w:rPr>
          <w:lang w:val="en-US"/>
        </w:rPr>
        <w:t xml:space="preserve">, which was largely inherited from the previous Chinese Ming dynasty (1368-1644) </w:t>
      </w:r>
      <w:r w:rsidR="006E38B1">
        <w:rPr>
          <w:lang w:val="en-US"/>
        </w:rPr>
        <w:t xml:space="preserve">has been at the center of scholarly discussions for many years. </w:t>
      </w:r>
      <w:r w:rsidR="00A93DA0">
        <w:rPr>
          <w:lang w:val="en-US"/>
        </w:rPr>
        <w:t>Th</w:t>
      </w:r>
      <w:r w:rsidR="00AF6409">
        <w:rPr>
          <w:lang w:val="en-US"/>
        </w:rPr>
        <w:t>is</w:t>
      </w:r>
      <w:r w:rsidR="00A93DA0">
        <w:rPr>
          <w:lang w:val="en-US"/>
        </w:rPr>
        <w:t xml:space="preserve"> paper will focus on the </w:t>
      </w:r>
      <w:proofErr w:type="spellStart"/>
      <w:r w:rsidR="00A93DA0">
        <w:rPr>
          <w:lang w:val="en-US"/>
        </w:rPr>
        <w:t>Lifanyuan</w:t>
      </w:r>
      <w:proofErr w:type="spellEnd"/>
      <w:r w:rsidR="00A93DA0">
        <w:rPr>
          <w:lang w:val="en-US"/>
        </w:rPr>
        <w:t>,</w:t>
      </w:r>
      <w:r w:rsidR="00D17FE9">
        <w:rPr>
          <w:rStyle w:val="Endnotenzeichen"/>
          <w:lang w:val="en-US"/>
        </w:rPr>
        <w:endnoteReference w:id="1"/>
      </w:r>
      <w:r w:rsidR="00A93DA0">
        <w:rPr>
          <w:lang w:val="en-US"/>
        </w:rPr>
        <w:t xml:space="preserve"> an office created by the Qing in order to m</w:t>
      </w:r>
      <w:r w:rsidR="00BE23CF">
        <w:rPr>
          <w:lang w:val="en-US"/>
        </w:rPr>
        <w:t>aintain and monitor</w:t>
      </w:r>
      <w:r w:rsidR="00A93DA0">
        <w:rPr>
          <w:lang w:val="en-US"/>
        </w:rPr>
        <w:t xml:space="preserve"> their relations with the </w:t>
      </w:r>
      <w:r w:rsidR="002C1D00">
        <w:rPr>
          <w:lang w:val="en-US"/>
        </w:rPr>
        <w:t>Mongol</w:t>
      </w:r>
      <w:r w:rsidR="00A93DA0">
        <w:rPr>
          <w:lang w:val="en-US"/>
        </w:rPr>
        <w:t xml:space="preserve"> nobility. W</w:t>
      </w:r>
      <w:r w:rsidR="00A93DA0" w:rsidRPr="00A93DA0">
        <w:rPr>
          <w:lang w:val="en-US"/>
        </w:rPr>
        <w:t xml:space="preserve">ith the expansion of the empire </w:t>
      </w:r>
      <w:r w:rsidR="00A93DA0">
        <w:rPr>
          <w:lang w:val="en-US"/>
        </w:rPr>
        <w:t>the</w:t>
      </w:r>
      <w:r w:rsidR="00A93DA0" w:rsidRPr="00A93DA0">
        <w:rPr>
          <w:lang w:val="en-US"/>
        </w:rPr>
        <w:t xml:space="preserve"> duties </w:t>
      </w:r>
      <w:r w:rsidR="00BE23CF">
        <w:rPr>
          <w:lang w:val="en-US"/>
        </w:rPr>
        <w:t xml:space="preserve">of the </w:t>
      </w:r>
      <w:proofErr w:type="spellStart"/>
      <w:r w:rsidR="00BE23CF">
        <w:rPr>
          <w:lang w:val="en-US"/>
        </w:rPr>
        <w:t>Lifanyuan</w:t>
      </w:r>
      <w:proofErr w:type="spellEnd"/>
      <w:r w:rsidR="00BE23CF">
        <w:rPr>
          <w:lang w:val="en-US"/>
        </w:rPr>
        <w:t xml:space="preserve"> </w:t>
      </w:r>
      <w:r w:rsidR="00A93DA0" w:rsidRPr="00A93DA0">
        <w:rPr>
          <w:lang w:val="en-US"/>
        </w:rPr>
        <w:t>were extended</w:t>
      </w:r>
      <w:r w:rsidR="00A93DA0">
        <w:rPr>
          <w:lang w:val="en-US"/>
        </w:rPr>
        <w:t xml:space="preserve"> to </w:t>
      </w:r>
      <w:r w:rsidR="00697BAF">
        <w:rPr>
          <w:lang w:val="en-US"/>
        </w:rPr>
        <w:t>some</w:t>
      </w:r>
      <w:r w:rsidR="009862E4">
        <w:rPr>
          <w:lang w:val="en-US"/>
        </w:rPr>
        <w:t xml:space="preserve"> </w:t>
      </w:r>
      <w:r w:rsidR="00A93DA0">
        <w:rPr>
          <w:lang w:val="en-US"/>
        </w:rPr>
        <w:t>other Inner Asian domains</w:t>
      </w:r>
      <w:r w:rsidR="00490B12">
        <w:rPr>
          <w:lang w:val="en-US"/>
        </w:rPr>
        <w:t>,</w:t>
      </w:r>
      <w:r w:rsidR="005255D1">
        <w:rPr>
          <w:lang w:val="en-US"/>
        </w:rPr>
        <w:t xml:space="preserve"> and it </w:t>
      </w:r>
      <w:r w:rsidR="00490B12">
        <w:rPr>
          <w:lang w:val="en-US"/>
        </w:rPr>
        <w:t>came to promote and control the territorial integration of frontier peoples within in the Qing empire</w:t>
      </w:r>
      <w:r w:rsidR="00A93DA0">
        <w:rPr>
          <w:lang w:val="en-US"/>
        </w:rPr>
        <w:t>.</w:t>
      </w:r>
      <w:r w:rsidR="00AF6409">
        <w:rPr>
          <w:lang w:val="en-US"/>
        </w:rPr>
        <w:t xml:space="preserve"> </w:t>
      </w:r>
    </w:p>
    <w:p w:rsidR="00FC1D5C" w:rsidRPr="008D4D4A" w:rsidRDefault="00853C32" w:rsidP="00FC1D5C">
      <w:pPr>
        <w:jc w:val="both"/>
        <w:rPr>
          <w:lang w:val="en-US"/>
        </w:rPr>
      </w:pPr>
      <w:r>
        <w:rPr>
          <w:lang w:val="en-US"/>
        </w:rPr>
        <w:t xml:space="preserve">The </w:t>
      </w:r>
      <w:proofErr w:type="spellStart"/>
      <w:r>
        <w:rPr>
          <w:lang w:val="en-US"/>
        </w:rPr>
        <w:t>Lifanyuan</w:t>
      </w:r>
      <w:proofErr w:type="spellEnd"/>
      <w:r>
        <w:rPr>
          <w:lang w:val="en-US"/>
        </w:rPr>
        <w:t xml:space="preserve"> represented an important interface, interlinking the coordination of Inner Asian, namely Mongol</w:t>
      </w:r>
      <w:r w:rsidR="00624633">
        <w:rPr>
          <w:lang w:val="en-US"/>
        </w:rPr>
        <w:t>, issues</w:t>
      </w:r>
      <w:r>
        <w:rPr>
          <w:lang w:val="en-US"/>
        </w:rPr>
        <w:t xml:space="preserve">, with other central government authorities. </w:t>
      </w:r>
      <w:r w:rsidR="009F085D">
        <w:rPr>
          <w:lang w:val="en-US"/>
        </w:rPr>
        <w:t xml:space="preserve">However, the multiple administrative arrangements reached in the frontier regions of the Qing empire did not constitute a steady condition. Johan </w:t>
      </w:r>
      <w:proofErr w:type="spellStart"/>
      <w:r w:rsidR="009F085D">
        <w:rPr>
          <w:lang w:val="en-US"/>
        </w:rPr>
        <w:t>Elverskog</w:t>
      </w:r>
      <w:proofErr w:type="spellEnd"/>
      <w:r w:rsidR="009F085D">
        <w:rPr>
          <w:lang w:val="en-US"/>
        </w:rPr>
        <w:t xml:space="preserve"> </w:t>
      </w:r>
      <w:r w:rsidR="00D17FE9">
        <w:rPr>
          <w:lang w:val="en-US"/>
        </w:rPr>
        <w:t xml:space="preserve">(2006: 7) </w:t>
      </w:r>
      <w:r w:rsidR="009F085D">
        <w:rPr>
          <w:lang w:val="en-US"/>
        </w:rPr>
        <w:t>reminded us that Qing rule was an ongoing process, which implied that the relationship between the imperial center and local authorities had to be constantly redefined.</w:t>
      </w:r>
      <w:r w:rsidR="00D17FE9">
        <w:rPr>
          <w:rStyle w:val="Endnotenzeichen"/>
          <w:lang w:val="en-US"/>
        </w:rPr>
        <w:endnoteReference w:id="2"/>
      </w:r>
      <w:r w:rsidR="009F085D">
        <w:rPr>
          <w:lang w:val="en-US"/>
        </w:rPr>
        <w:t xml:space="preserve"> Policies of domination caused reactions and counterstrategies among their Inner Asian subjects and political partners. </w:t>
      </w:r>
      <w:r w:rsidR="00FC1D5C">
        <w:rPr>
          <w:lang w:val="en-US"/>
        </w:rPr>
        <w:t xml:space="preserve">The modalities of their integration and the status specific communities had within the Qing state reflected the conditions under which they, at different times, had acknowledged Qing </w:t>
      </w:r>
      <w:proofErr w:type="spellStart"/>
      <w:r w:rsidR="00FC1D5C">
        <w:rPr>
          <w:lang w:val="en-US"/>
        </w:rPr>
        <w:t>overlordship</w:t>
      </w:r>
      <w:proofErr w:type="spellEnd"/>
      <w:r w:rsidR="00FC1D5C">
        <w:rPr>
          <w:lang w:val="en-US"/>
        </w:rPr>
        <w:t xml:space="preserve">. Likewise, after formal recognition of Qing </w:t>
      </w:r>
      <w:proofErr w:type="spellStart"/>
      <w:r w:rsidR="00FC1D5C">
        <w:rPr>
          <w:lang w:val="en-US"/>
        </w:rPr>
        <w:t>overlordship</w:t>
      </w:r>
      <w:proofErr w:type="spellEnd"/>
      <w:r w:rsidR="00FC1D5C">
        <w:rPr>
          <w:lang w:val="en-US"/>
        </w:rPr>
        <w:t>, elites in their interaction with the throne participated in shaping the nature of their relationship with the court.</w:t>
      </w:r>
    </w:p>
    <w:p w:rsidR="00DE76A4" w:rsidRDefault="00AF6409" w:rsidP="00FE39EF">
      <w:pPr>
        <w:jc w:val="both"/>
        <w:rPr>
          <w:lang w:val="en-US"/>
        </w:rPr>
      </w:pPr>
      <w:r>
        <w:rPr>
          <w:lang w:val="en-US"/>
        </w:rPr>
        <w:t xml:space="preserve">When looking at the fields of responsibility of the </w:t>
      </w:r>
      <w:proofErr w:type="spellStart"/>
      <w:r>
        <w:rPr>
          <w:lang w:val="en-US"/>
        </w:rPr>
        <w:t>Lifanyuan</w:t>
      </w:r>
      <w:proofErr w:type="spellEnd"/>
      <w:r w:rsidR="00EB29E9">
        <w:rPr>
          <w:lang w:val="en-US"/>
        </w:rPr>
        <w:t>, many had their roots in early 17</w:t>
      </w:r>
      <w:r w:rsidR="00EB29E9" w:rsidRPr="00EB29E9">
        <w:rPr>
          <w:vertAlign w:val="superscript"/>
          <w:lang w:val="en-US"/>
        </w:rPr>
        <w:t>th</w:t>
      </w:r>
      <w:r w:rsidR="00EB29E9">
        <w:rPr>
          <w:lang w:val="en-US"/>
        </w:rPr>
        <w:t xml:space="preserve"> century Manchu-Mongol diplomatic relations. </w:t>
      </w:r>
      <w:r w:rsidR="009F085D">
        <w:rPr>
          <w:lang w:val="en-US"/>
        </w:rPr>
        <w:t xml:space="preserve">The recently published routine memorials of the </w:t>
      </w:r>
      <w:proofErr w:type="spellStart"/>
      <w:r w:rsidR="009F085D">
        <w:rPr>
          <w:lang w:val="en-US"/>
        </w:rPr>
        <w:t>Lifanyuan</w:t>
      </w:r>
      <w:proofErr w:type="spellEnd"/>
      <w:r w:rsidR="009F085D">
        <w:rPr>
          <w:lang w:val="en-US"/>
        </w:rPr>
        <w:t xml:space="preserve"> reveal that this office – besides legal issues – was largely concerned with personnel </w:t>
      </w:r>
      <w:r w:rsidR="00FE39EF">
        <w:rPr>
          <w:lang w:val="en-US"/>
        </w:rPr>
        <w:t xml:space="preserve">matters, such as </w:t>
      </w:r>
      <w:r w:rsidR="001123B9">
        <w:rPr>
          <w:lang w:val="en-US"/>
        </w:rPr>
        <w:t>staging the Inner Asian nobility’s regular visits to the court,</w:t>
      </w:r>
      <w:r w:rsidR="00446D5E">
        <w:rPr>
          <w:rStyle w:val="Endnotenzeichen"/>
          <w:lang w:val="en-US"/>
        </w:rPr>
        <w:endnoteReference w:id="3"/>
      </w:r>
      <w:r w:rsidR="00172661" w:rsidRPr="00172661">
        <w:rPr>
          <w:lang w:val="en-US"/>
        </w:rPr>
        <w:t xml:space="preserve"> </w:t>
      </w:r>
      <w:r w:rsidR="00FE39EF">
        <w:rPr>
          <w:lang w:val="en-US"/>
        </w:rPr>
        <w:t>bestowal of ranks and titles, rewards</w:t>
      </w:r>
      <w:r w:rsidR="003B2509">
        <w:rPr>
          <w:lang w:val="en-US"/>
        </w:rPr>
        <w:t xml:space="preserve"> and obituaries</w:t>
      </w:r>
      <w:r w:rsidR="00FE39EF">
        <w:rPr>
          <w:lang w:val="en-US"/>
        </w:rPr>
        <w:t>.</w:t>
      </w:r>
      <w:r w:rsidR="00446D5E">
        <w:rPr>
          <w:rStyle w:val="Endnotenzeichen"/>
          <w:lang w:val="en-US"/>
        </w:rPr>
        <w:endnoteReference w:id="4"/>
      </w:r>
      <w:r w:rsidR="00FE39EF">
        <w:rPr>
          <w:lang w:val="en-US"/>
        </w:rPr>
        <w:t xml:space="preserve"> For this reason, </w:t>
      </w:r>
      <w:r w:rsidR="009F085D">
        <w:rPr>
          <w:lang w:val="en-US"/>
        </w:rPr>
        <w:t xml:space="preserve">the interaction of the Qing </w:t>
      </w:r>
      <w:r w:rsidR="00FE39EF">
        <w:rPr>
          <w:lang w:val="en-US"/>
        </w:rPr>
        <w:t xml:space="preserve">court </w:t>
      </w:r>
      <w:r w:rsidR="009F085D">
        <w:rPr>
          <w:lang w:val="en-US"/>
        </w:rPr>
        <w:t xml:space="preserve">with Mongol authorities </w:t>
      </w:r>
      <w:r w:rsidR="00FE39EF">
        <w:rPr>
          <w:lang w:val="en-US"/>
        </w:rPr>
        <w:t xml:space="preserve">can be interpreted </w:t>
      </w:r>
      <w:r w:rsidR="009F085D">
        <w:rPr>
          <w:lang w:val="en-US"/>
        </w:rPr>
        <w:t>within the framework of the political culture of patronage</w:t>
      </w:r>
      <w:r w:rsidR="00FE39EF">
        <w:rPr>
          <w:lang w:val="en-US"/>
        </w:rPr>
        <w:t xml:space="preserve">. </w:t>
      </w:r>
      <w:r w:rsidR="007C12CE">
        <w:rPr>
          <w:lang w:val="en-US"/>
        </w:rPr>
        <w:t>However, the fact that p</w:t>
      </w:r>
      <w:r w:rsidR="00EB29E9">
        <w:rPr>
          <w:lang w:val="en-US"/>
        </w:rPr>
        <w:t xml:space="preserve">ractices, which </w:t>
      </w:r>
      <w:r w:rsidR="001C7CB8">
        <w:rPr>
          <w:lang w:val="en-US"/>
        </w:rPr>
        <w:t xml:space="preserve">during the period of state formation </w:t>
      </w:r>
      <w:r w:rsidR="00EB29E9">
        <w:rPr>
          <w:lang w:val="en-US"/>
        </w:rPr>
        <w:t xml:space="preserve">had been of a flexible and </w:t>
      </w:r>
      <w:r w:rsidR="001D195D">
        <w:rPr>
          <w:lang w:val="en-US"/>
        </w:rPr>
        <w:t>accommodative</w:t>
      </w:r>
      <w:r w:rsidR="00EB29E9">
        <w:rPr>
          <w:lang w:val="en-US"/>
        </w:rPr>
        <w:t xml:space="preserve"> nature</w:t>
      </w:r>
      <w:r w:rsidR="0065761B">
        <w:rPr>
          <w:lang w:val="en-US"/>
        </w:rPr>
        <w:t>,</w:t>
      </w:r>
      <w:r w:rsidR="00EB29E9">
        <w:rPr>
          <w:lang w:val="en-US"/>
        </w:rPr>
        <w:t xml:space="preserve"> were formalized and their observance supervised by </w:t>
      </w:r>
      <w:r w:rsidR="007C12CE">
        <w:rPr>
          <w:lang w:val="en-US"/>
        </w:rPr>
        <w:t xml:space="preserve">a central government agency </w:t>
      </w:r>
      <w:r w:rsidR="007049C4">
        <w:rPr>
          <w:lang w:val="en-US"/>
        </w:rPr>
        <w:t xml:space="preserve">according to clearly defined rules </w:t>
      </w:r>
      <w:r w:rsidR="00D22124">
        <w:rPr>
          <w:lang w:val="en-US"/>
        </w:rPr>
        <w:t xml:space="preserve">brought about significant changes. </w:t>
      </w:r>
      <w:r w:rsidR="002E7BD5">
        <w:rPr>
          <w:lang w:val="en-US"/>
        </w:rPr>
        <w:t>Based on Manchu and Mongol</w:t>
      </w:r>
      <w:r w:rsidR="00CF2CCE">
        <w:rPr>
          <w:lang w:val="en-US"/>
        </w:rPr>
        <w:t xml:space="preserve"> recently published primary sources</w:t>
      </w:r>
      <w:r w:rsidR="00172661">
        <w:rPr>
          <w:lang w:val="en-US"/>
        </w:rPr>
        <w:t>,</w:t>
      </w:r>
      <w:r w:rsidR="00CF2CCE">
        <w:rPr>
          <w:lang w:val="en-US"/>
        </w:rPr>
        <w:t xml:space="preserve"> </w:t>
      </w:r>
      <w:r w:rsidR="00172661" w:rsidRPr="00172661">
        <w:rPr>
          <w:lang w:val="en-US"/>
        </w:rPr>
        <w:t xml:space="preserve">this paper argues </w:t>
      </w:r>
      <w:r w:rsidR="00CF2CCE">
        <w:rPr>
          <w:lang w:val="en-US"/>
        </w:rPr>
        <w:t xml:space="preserve">that </w:t>
      </w:r>
      <w:r w:rsidR="00172661" w:rsidRPr="00172661">
        <w:rPr>
          <w:lang w:val="en-US"/>
        </w:rPr>
        <w:t>the Qing reinterpreted their relationship with Inner Asian leaders fundamentally</w:t>
      </w:r>
      <w:r w:rsidR="00172661">
        <w:rPr>
          <w:lang w:val="en-US"/>
        </w:rPr>
        <w:t xml:space="preserve"> and g</w:t>
      </w:r>
      <w:r w:rsidR="00172661" w:rsidRPr="00172661">
        <w:rPr>
          <w:lang w:val="en-US"/>
        </w:rPr>
        <w:t>ift exchange acquired new meanings</w:t>
      </w:r>
      <w:r w:rsidR="00172661">
        <w:rPr>
          <w:lang w:val="en-US"/>
        </w:rPr>
        <w:t>.</w:t>
      </w:r>
      <w:r w:rsidR="00172661" w:rsidRPr="00172661">
        <w:rPr>
          <w:lang w:val="en-US"/>
        </w:rPr>
        <w:t xml:space="preserve"> </w:t>
      </w:r>
      <w:r w:rsidR="00172661">
        <w:rPr>
          <w:lang w:val="en-US"/>
        </w:rPr>
        <w:t>T</w:t>
      </w:r>
      <w:r w:rsidR="00CF2CCE">
        <w:rPr>
          <w:lang w:val="en-US"/>
        </w:rPr>
        <w:t xml:space="preserve">he </w:t>
      </w:r>
      <w:r w:rsidR="00172661">
        <w:rPr>
          <w:lang w:val="en-US"/>
        </w:rPr>
        <w:t xml:space="preserve">emphasis </w:t>
      </w:r>
      <w:r w:rsidR="0003303B">
        <w:rPr>
          <w:lang w:val="en-US"/>
        </w:rPr>
        <w:t xml:space="preserve">shifted from recording </w:t>
      </w:r>
      <w:r w:rsidR="00CF2CCE">
        <w:rPr>
          <w:lang w:val="en-US"/>
        </w:rPr>
        <w:t>what was “received” to recording what was “given”</w:t>
      </w:r>
      <w:r w:rsidR="00A53137">
        <w:rPr>
          <w:lang w:val="en-US"/>
        </w:rPr>
        <w:t>, thereb</w:t>
      </w:r>
      <w:r w:rsidR="00CF2CCE">
        <w:rPr>
          <w:lang w:val="en-US"/>
        </w:rPr>
        <w:t xml:space="preserve">y focusing on the generosity of the emperor. </w:t>
      </w:r>
      <w:r w:rsidR="00115C87">
        <w:rPr>
          <w:lang w:val="en-US"/>
        </w:rPr>
        <w:t>Thi</w:t>
      </w:r>
      <w:r w:rsidR="00545364">
        <w:rPr>
          <w:lang w:val="en-US"/>
        </w:rPr>
        <w:t>s adds another facet to the ob</w:t>
      </w:r>
      <w:r w:rsidR="00115C87">
        <w:rPr>
          <w:lang w:val="en-US"/>
        </w:rPr>
        <w:t xml:space="preserve">servation of </w:t>
      </w:r>
      <w:proofErr w:type="spellStart"/>
      <w:r w:rsidR="00115C87">
        <w:rPr>
          <w:lang w:val="en-US"/>
        </w:rPr>
        <w:t>Pamely</w:t>
      </w:r>
      <w:proofErr w:type="spellEnd"/>
      <w:r w:rsidR="00115C87">
        <w:rPr>
          <w:lang w:val="en-US"/>
        </w:rPr>
        <w:t xml:space="preserve"> Crossley that </w:t>
      </w:r>
      <w:r w:rsidR="00545364">
        <w:rPr>
          <w:lang w:val="en-US"/>
        </w:rPr>
        <w:t>the Qing emperors</w:t>
      </w:r>
      <w:r w:rsidR="00D55B6A">
        <w:rPr>
          <w:lang w:val="en-US"/>
        </w:rPr>
        <w:t>,</w:t>
      </w:r>
      <w:r w:rsidR="00545364">
        <w:rPr>
          <w:lang w:val="en-US"/>
        </w:rPr>
        <w:t xml:space="preserve"> by re-evaluating the past</w:t>
      </w:r>
      <w:r w:rsidR="006E1CEE">
        <w:rPr>
          <w:lang w:val="en-US"/>
        </w:rPr>
        <w:t>,</w:t>
      </w:r>
      <w:r w:rsidR="00545364">
        <w:rPr>
          <w:lang w:val="en-US"/>
        </w:rPr>
        <w:t xml:space="preserve"> cultivated the image of morally absolute</w:t>
      </w:r>
      <w:r w:rsidR="0051750A">
        <w:rPr>
          <w:lang w:val="en-US"/>
        </w:rPr>
        <w:t xml:space="preserve">, “internally satisfied and externally </w:t>
      </w:r>
      <w:proofErr w:type="spellStart"/>
      <w:r w:rsidR="0003303B">
        <w:rPr>
          <w:lang w:val="en-US"/>
        </w:rPr>
        <w:t>omni</w:t>
      </w:r>
      <w:r w:rsidR="0051750A">
        <w:rPr>
          <w:lang w:val="en-US"/>
        </w:rPr>
        <w:t>competent</w:t>
      </w:r>
      <w:proofErr w:type="spellEnd"/>
      <w:r w:rsidR="0051750A">
        <w:rPr>
          <w:lang w:val="en-US"/>
        </w:rPr>
        <w:t>” rule</w:t>
      </w:r>
      <w:r w:rsidR="00446D5E">
        <w:rPr>
          <w:lang w:val="en-US"/>
        </w:rPr>
        <w:t xml:space="preserve"> </w:t>
      </w:r>
      <w:r w:rsidR="00446D5E" w:rsidRPr="00446D5E">
        <w:rPr>
          <w:lang w:val="en-US"/>
        </w:rPr>
        <w:t>(1999: 224)</w:t>
      </w:r>
      <w:r w:rsidR="0051750A">
        <w:rPr>
          <w:lang w:val="en-US"/>
        </w:rPr>
        <w:t>.</w:t>
      </w:r>
      <w:r w:rsidR="00545364">
        <w:rPr>
          <w:lang w:val="en-US"/>
        </w:rPr>
        <w:t xml:space="preserve"> </w:t>
      </w:r>
      <w:r w:rsidR="00FE39EF">
        <w:rPr>
          <w:lang w:val="en-US"/>
        </w:rPr>
        <w:t xml:space="preserve">Moreover, </w:t>
      </w:r>
      <w:r w:rsidR="006E09BF">
        <w:rPr>
          <w:lang w:val="en-US"/>
        </w:rPr>
        <w:t xml:space="preserve">looking at the way how Mongol leaders reacted </w:t>
      </w:r>
      <w:r w:rsidR="00DE76A4">
        <w:rPr>
          <w:lang w:val="en-US"/>
        </w:rPr>
        <w:t xml:space="preserve">to </w:t>
      </w:r>
      <w:r w:rsidR="005D56CF">
        <w:rPr>
          <w:lang w:val="en-US"/>
        </w:rPr>
        <w:t xml:space="preserve">the </w:t>
      </w:r>
      <w:r w:rsidR="00DE76A4">
        <w:rPr>
          <w:lang w:val="en-US"/>
        </w:rPr>
        <w:t xml:space="preserve">changes in Manchu self-conception </w:t>
      </w:r>
      <w:r w:rsidR="00FE39EF">
        <w:rPr>
          <w:lang w:val="en-US"/>
        </w:rPr>
        <w:t xml:space="preserve">will contribute to our understanding of </w:t>
      </w:r>
      <w:r w:rsidR="00DE76A4">
        <w:rPr>
          <w:lang w:val="en-US"/>
        </w:rPr>
        <w:t xml:space="preserve">the contested nature of </w:t>
      </w:r>
      <w:r w:rsidR="00FE39EF">
        <w:rPr>
          <w:lang w:val="en-US"/>
        </w:rPr>
        <w:t xml:space="preserve">Qing </w:t>
      </w:r>
      <w:r w:rsidR="00DE76A4">
        <w:rPr>
          <w:lang w:val="en-US"/>
        </w:rPr>
        <w:t>rule in the outer regions.</w:t>
      </w:r>
    </w:p>
    <w:p w:rsidR="00FE39EF" w:rsidRDefault="00FE39EF" w:rsidP="00FE39EF">
      <w:pPr>
        <w:jc w:val="both"/>
        <w:rPr>
          <w:lang w:val="en-US"/>
        </w:rPr>
      </w:pPr>
      <w:r>
        <w:rPr>
          <w:lang w:val="en-US"/>
        </w:rPr>
        <w:t xml:space="preserve">As has been stressed by a number of </w:t>
      </w:r>
      <w:r w:rsidRPr="00637428">
        <w:rPr>
          <w:lang w:val="en-US"/>
        </w:rPr>
        <w:t>scholars</w:t>
      </w:r>
      <w:r>
        <w:rPr>
          <w:lang w:val="en-US"/>
        </w:rPr>
        <w:t>,</w:t>
      </w:r>
      <w:r w:rsidRPr="00637428">
        <w:rPr>
          <w:lang w:val="en-US"/>
        </w:rPr>
        <w:t xml:space="preserve"> Qing administration</w:t>
      </w:r>
      <w:r>
        <w:rPr>
          <w:lang w:val="en-US"/>
        </w:rPr>
        <w:t xml:space="preserve"> </w:t>
      </w:r>
      <w:r w:rsidR="007C12CE">
        <w:rPr>
          <w:lang w:val="en-US"/>
        </w:rPr>
        <w:t xml:space="preserve">in the frontier regions </w:t>
      </w:r>
      <w:r>
        <w:rPr>
          <w:lang w:val="en-US"/>
        </w:rPr>
        <w:t>was marked by a high degree of flexibility</w:t>
      </w:r>
      <w:r w:rsidRPr="00637428">
        <w:rPr>
          <w:lang w:val="en-US"/>
        </w:rPr>
        <w:t xml:space="preserve">. By adapting to local conditions, the Qing allowed a variety of administrative systems to coexist in Mongolia, Xinjiang, and Tibet. </w:t>
      </w:r>
      <w:r>
        <w:rPr>
          <w:lang w:val="en-US"/>
        </w:rPr>
        <w:t>According to Peter Perdue “Flexible, negotiated local administration, a feature of imperial rule everywhere, revealed itself more openly</w:t>
      </w:r>
      <w:r w:rsidR="00446D5E">
        <w:rPr>
          <w:lang w:val="en-US"/>
        </w:rPr>
        <w:t xml:space="preserve"> on the frontier than elsewhere</w:t>
      </w:r>
      <w:r>
        <w:rPr>
          <w:lang w:val="en-US"/>
        </w:rPr>
        <w:t>”</w:t>
      </w:r>
      <w:r w:rsidR="00446D5E">
        <w:rPr>
          <w:lang w:val="en-US"/>
        </w:rPr>
        <w:t xml:space="preserve"> (2005: 558).</w:t>
      </w:r>
      <w:r>
        <w:rPr>
          <w:lang w:val="en-US"/>
        </w:rPr>
        <w:t xml:space="preserve"> </w:t>
      </w:r>
      <w:r w:rsidRPr="00637428">
        <w:rPr>
          <w:lang w:val="en-US"/>
        </w:rPr>
        <w:t xml:space="preserve">Mark Elliott </w:t>
      </w:r>
      <w:r w:rsidRPr="00637428">
        <w:rPr>
          <w:lang w:val="en-US"/>
        </w:rPr>
        <w:lastRenderedPageBreak/>
        <w:t>underlines “the diversity of this system, the lack of consistency across regions, and the fact that it differed so utterly from the administrative system used in the interior provinces</w:t>
      </w:r>
      <w:r>
        <w:rPr>
          <w:lang w:val="en-US"/>
        </w:rPr>
        <w:t>”</w:t>
      </w:r>
      <w:r w:rsidR="00446D5E">
        <w:rPr>
          <w:lang w:val="en-US"/>
        </w:rPr>
        <w:t xml:space="preserve"> (2011: 406).</w:t>
      </w:r>
      <w:r w:rsidR="007C12CE" w:rsidRPr="007C12CE">
        <w:rPr>
          <w:lang w:val="en-US"/>
        </w:rPr>
        <w:t xml:space="preserve"> </w:t>
      </w:r>
      <w:r w:rsidR="007C12CE">
        <w:rPr>
          <w:lang w:val="en-US"/>
        </w:rPr>
        <w:t>The different ways of integrating Mongol confederations into the Qing state in the 17</w:t>
      </w:r>
      <w:r w:rsidR="007C12CE" w:rsidRPr="00E113E2">
        <w:rPr>
          <w:vertAlign w:val="superscript"/>
          <w:lang w:val="en-US"/>
        </w:rPr>
        <w:t>th</w:t>
      </w:r>
      <w:r w:rsidR="007C12CE">
        <w:rPr>
          <w:lang w:val="en-US"/>
        </w:rPr>
        <w:t xml:space="preserve"> and 18</w:t>
      </w:r>
      <w:r w:rsidR="007C12CE" w:rsidRPr="00E113E2">
        <w:rPr>
          <w:vertAlign w:val="superscript"/>
          <w:lang w:val="en-US"/>
        </w:rPr>
        <w:t>th</w:t>
      </w:r>
      <w:r w:rsidR="007C12CE">
        <w:rPr>
          <w:lang w:val="en-US"/>
        </w:rPr>
        <w:t xml:space="preserve"> centuries provide a vivid example for the fact that the dynasty had no overall master plan for the integration of Inner Asian peoples into their realm, but had a wide range of models at its command when meeting</w:t>
      </w:r>
      <w:r w:rsidR="007C12CE" w:rsidRPr="00B155C4">
        <w:rPr>
          <w:lang w:val="en-US"/>
        </w:rPr>
        <w:t xml:space="preserve"> </w:t>
      </w:r>
      <w:r w:rsidR="007C12CE">
        <w:rPr>
          <w:lang w:val="en-US"/>
        </w:rPr>
        <w:t>with the specific demands and expectations of native leaders.</w:t>
      </w:r>
    </w:p>
    <w:p w:rsidR="007049C4" w:rsidRPr="00172661" w:rsidRDefault="00FE39EF" w:rsidP="00FE39EF">
      <w:pPr>
        <w:jc w:val="both"/>
        <w:rPr>
          <w:lang w:val="en-US"/>
        </w:rPr>
      </w:pPr>
      <w:r>
        <w:rPr>
          <w:lang w:val="en-US"/>
        </w:rPr>
        <w:t xml:space="preserve">The </w:t>
      </w:r>
      <w:r w:rsidR="00D55B6A">
        <w:rPr>
          <w:lang w:val="en-US"/>
        </w:rPr>
        <w:t>Mongols</w:t>
      </w:r>
      <w:r>
        <w:rPr>
          <w:lang w:val="en-US"/>
        </w:rPr>
        <w:t xml:space="preserve"> settling </w:t>
      </w:r>
      <w:r w:rsidR="00D55B6A">
        <w:rPr>
          <w:lang w:val="en-US"/>
        </w:rPr>
        <w:t xml:space="preserve">south of the Gobi </w:t>
      </w:r>
      <w:r>
        <w:rPr>
          <w:lang w:val="en-US"/>
        </w:rPr>
        <w:t xml:space="preserve">in a territory corresponding roughly with today’s Inner Mongolia, had been in close political contact with the Manchus long before the founding of the Qing dynasty. After formally acknowledging Hong </w:t>
      </w:r>
      <w:proofErr w:type="spellStart"/>
      <w:r>
        <w:rPr>
          <w:lang w:val="en-US"/>
        </w:rPr>
        <w:t>Taiji</w:t>
      </w:r>
      <w:proofErr w:type="spellEnd"/>
      <w:r>
        <w:rPr>
          <w:lang w:val="en-US"/>
        </w:rPr>
        <w:t xml:space="preserve"> </w:t>
      </w:r>
      <w:r w:rsidRPr="00582DCF">
        <w:rPr>
          <w:lang w:val="en-US"/>
        </w:rPr>
        <w:t xml:space="preserve">(reigned 1627–1643) </w:t>
      </w:r>
      <w:r>
        <w:rPr>
          <w:lang w:val="en-US"/>
        </w:rPr>
        <w:t>as the first emperor of the Qing dynasty in 1636, they experienced the fundamental change of Manchu-Mongol relationship from – more or less – equal partnership to outright subordination</w:t>
      </w:r>
      <w:r w:rsidR="003B70E0">
        <w:rPr>
          <w:lang w:val="en-US"/>
        </w:rPr>
        <w:t xml:space="preserve"> (Di Cosmo 2012</w:t>
      </w:r>
      <w:r w:rsidR="0098746C">
        <w:rPr>
          <w:lang w:val="en-US"/>
        </w:rPr>
        <w:t>)</w:t>
      </w:r>
      <w:r>
        <w:rPr>
          <w:lang w:val="en-US"/>
        </w:rPr>
        <w:t>. Over the course of the 17</w:t>
      </w:r>
      <w:r w:rsidRPr="00D412F6">
        <w:rPr>
          <w:vertAlign w:val="superscript"/>
          <w:lang w:val="en-US"/>
        </w:rPr>
        <w:t>th</w:t>
      </w:r>
      <w:r>
        <w:rPr>
          <w:lang w:val="en-US"/>
        </w:rPr>
        <w:t xml:space="preserve"> </w:t>
      </w:r>
      <w:r w:rsidRPr="00D412F6">
        <w:rPr>
          <w:lang w:val="en-US"/>
        </w:rPr>
        <w:t xml:space="preserve">century they were reorganized in territorial-administrative units, banners, under the </w:t>
      </w:r>
      <w:proofErr w:type="spellStart"/>
      <w:r w:rsidRPr="00D412F6">
        <w:rPr>
          <w:lang w:val="en-US"/>
        </w:rPr>
        <w:t>rulership</w:t>
      </w:r>
      <w:proofErr w:type="spellEnd"/>
      <w:r w:rsidRPr="00D412F6">
        <w:rPr>
          <w:lang w:val="en-US"/>
        </w:rPr>
        <w:t xml:space="preserve"> (</w:t>
      </w:r>
      <w:r>
        <w:rPr>
          <w:lang w:val="en-US"/>
        </w:rPr>
        <w:t xml:space="preserve">in Mongol </w:t>
      </w:r>
      <w:proofErr w:type="spellStart"/>
      <w:r w:rsidRPr="00D412F6">
        <w:rPr>
          <w:i/>
          <w:lang w:val="en-US"/>
        </w:rPr>
        <w:t>jasaγ</w:t>
      </w:r>
      <w:proofErr w:type="spellEnd"/>
      <w:r w:rsidRPr="00D412F6">
        <w:rPr>
          <w:lang w:val="en-US"/>
        </w:rPr>
        <w:t xml:space="preserve">) of a hereditary </w:t>
      </w:r>
      <w:r w:rsidRPr="00172661">
        <w:rPr>
          <w:lang w:val="en-US"/>
        </w:rPr>
        <w:t>prince</w:t>
      </w:r>
      <w:r w:rsidR="00172661" w:rsidRPr="00172661">
        <w:rPr>
          <w:lang w:val="en-US"/>
        </w:rPr>
        <w:t>.</w:t>
      </w:r>
    </w:p>
    <w:p w:rsidR="00FE39EF" w:rsidRPr="00BE19E8" w:rsidRDefault="00FE39EF" w:rsidP="00E42D90">
      <w:pPr>
        <w:jc w:val="both"/>
        <w:rPr>
          <w:lang w:val="en-US"/>
        </w:rPr>
      </w:pPr>
      <w:r w:rsidRPr="00172661">
        <w:rPr>
          <w:lang w:val="en-US"/>
        </w:rPr>
        <w:t xml:space="preserve">When the </w:t>
      </w:r>
      <w:proofErr w:type="spellStart"/>
      <w:r w:rsidRPr="00172661">
        <w:rPr>
          <w:lang w:val="en-US"/>
        </w:rPr>
        <w:t>Qalqa</w:t>
      </w:r>
      <w:proofErr w:type="spellEnd"/>
      <w:r w:rsidRPr="00172661">
        <w:rPr>
          <w:lang w:val="en-US"/>
        </w:rPr>
        <w:t xml:space="preserve"> Mongols, formally under Qing rule since 1691, entered their political s</w:t>
      </w:r>
      <w:r>
        <w:rPr>
          <w:lang w:val="en-US"/>
        </w:rPr>
        <w:t xml:space="preserve">phere of influence, the Manchus were already emperors of China. Under heavy pressure from the </w:t>
      </w:r>
      <w:proofErr w:type="spellStart"/>
      <w:r>
        <w:rPr>
          <w:lang w:val="en-US"/>
        </w:rPr>
        <w:t>Oirat</w:t>
      </w:r>
      <w:proofErr w:type="spellEnd"/>
      <w:r>
        <w:rPr>
          <w:lang w:val="en-US"/>
        </w:rPr>
        <w:t xml:space="preserve"> Mongols, </w:t>
      </w:r>
      <w:r w:rsidR="00182113">
        <w:rPr>
          <w:lang w:val="en-US"/>
        </w:rPr>
        <w:t xml:space="preserve">who had their pasture grounds in the northern parts of today’s Xinjiang, </w:t>
      </w:r>
      <w:r>
        <w:rPr>
          <w:lang w:val="en-US"/>
        </w:rPr>
        <w:t xml:space="preserve">the </w:t>
      </w:r>
      <w:proofErr w:type="spellStart"/>
      <w:r>
        <w:rPr>
          <w:lang w:val="en-US"/>
        </w:rPr>
        <w:t>Qalqa</w:t>
      </w:r>
      <w:proofErr w:type="spellEnd"/>
      <w:r>
        <w:rPr>
          <w:lang w:val="en-US"/>
        </w:rPr>
        <w:t xml:space="preserve"> nobility opted for allying with the Qing. As regards territorial integration of the </w:t>
      </w:r>
      <w:proofErr w:type="spellStart"/>
      <w:r>
        <w:rPr>
          <w:lang w:val="en-US"/>
        </w:rPr>
        <w:t>Qalqa</w:t>
      </w:r>
      <w:proofErr w:type="spellEnd"/>
      <w:r>
        <w:rPr>
          <w:lang w:val="en-US"/>
        </w:rPr>
        <w:t xml:space="preserve"> nobility</w:t>
      </w:r>
      <w:r w:rsidR="00F86C3F">
        <w:rPr>
          <w:lang w:val="en-US"/>
        </w:rPr>
        <w:t>,</w:t>
      </w:r>
      <w:r>
        <w:rPr>
          <w:lang w:val="en-US"/>
        </w:rPr>
        <w:t xml:space="preserve"> the Qing built on practices which had been successfully implemented among the</w:t>
      </w:r>
      <w:r w:rsidR="00FB1D75">
        <w:rPr>
          <w:lang w:val="en-US"/>
        </w:rPr>
        <w:t xml:space="preserve"> Southern Mongols</w:t>
      </w:r>
      <w:r>
        <w:rPr>
          <w:lang w:val="en-US"/>
        </w:rPr>
        <w:t>: Established political formations were left intact, and their leaders, if they were considered to be loyal and trustworthy, were granted ranks and titles and were acknowledged as “ruling” (</w:t>
      </w:r>
      <w:proofErr w:type="spellStart"/>
      <w:r w:rsidRPr="00942D4F">
        <w:rPr>
          <w:i/>
          <w:lang w:val="en-US"/>
        </w:rPr>
        <w:t>jasa</w:t>
      </w:r>
      <w:r w:rsidRPr="00942D4F">
        <w:rPr>
          <w:rFonts w:ascii="Calibri" w:hAnsi="Calibri"/>
          <w:i/>
          <w:lang w:val="en-US"/>
        </w:rPr>
        <w:t>γ</w:t>
      </w:r>
      <w:proofErr w:type="spellEnd"/>
      <w:r>
        <w:rPr>
          <w:lang w:val="en-US"/>
        </w:rPr>
        <w:t>).</w:t>
      </w:r>
      <w:r w:rsidR="003B70E0">
        <w:rPr>
          <w:rStyle w:val="Endnotenzeichen"/>
          <w:lang w:val="en-US"/>
        </w:rPr>
        <w:endnoteReference w:id="5"/>
      </w:r>
      <w:r w:rsidRPr="00762169">
        <w:rPr>
          <w:rStyle w:val="Funotenzeichen"/>
          <w:lang w:val="en-US"/>
        </w:rPr>
        <w:t xml:space="preserve"> </w:t>
      </w:r>
      <w:r>
        <w:rPr>
          <w:lang w:val="en-US"/>
        </w:rPr>
        <w:t xml:space="preserve">Their position was backed up by certain material benefits and securities, but, of course, in the long run this secure status came at the price of their political autonomy. After 1911, the </w:t>
      </w:r>
      <w:proofErr w:type="spellStart"/>
      <w:r>
        <w:rPr>
          <w:lang w:val="en-US"/>
        </w:rPr>
        <w:t>Qalqa</w:t>
      </w:r>
      <w:proofErr w:type="spellEnd"/>
      <w:r>
        <w:rPr>
          <w:lang w:val="en-US"/>
        </w:rPr>
        <w:t xml:space="preserve"> Mongols regained independence and their territory makes up today’s Republic of </w:t>
      </w:r>
      <w:r w:rsidRPr="00BE19E8">
        <w:rPr>
          <w:lang w:val="en-US"/>
        </w:rPr>
        <w:t>Mongolia.</w:t>
      </w:r>
      <w:r w:rsidR="006442EE" w:rsidRPr="00BE19E8">
        <w:rPr>
          <w:lang w:val="en-US"/>
        </w:rPr>
        <w:t xml:space="preserve"> </w:t>
      </w:r>
      <w:r w:rsidR="00816D44" w:rsidRPr="00BE19E8">
        <w:rPr>
          <w:lang w:val="en-US"/>
        </w:rPr>
        <w:t>Early 20</w:t>
      </w:r>
      <w:r w:rsidR="00816D44" w:rsidRPr="00BE19E8">
        <w:rPr>
          <w:vertAlign w:val="superscript"/>
          <w:lang w:val="en-US"/>
        </w:rPr>
        <w:t>th</w:t>
      </w:r>
      <w:r w:rsidR="00816D44" w:rsidRPr="00BE19E8">
        <w:rPr>
          <w:lang w:val="en-US"/>
        </w:rPr>
        <w:t xml:space="preserve"> century d</w:t>
      </w:r>
      <w:r w:rsidR="00E37085" w:rsidRPr="00BE19E8">
        <w:rPr>
          <w:lang w:val="en-US"/>
        </w:rPr>
        <w:t xml:space="preserve">ebates over </w:t>
      </w:r>
      <w:r w:rsidR="001210F5" w:rsidRPr="00BE19E8">
        <w:rPr>
          <w:lang w:val="en-US"/>
        </w:rPr>
        <w:t xml:space="preserve">Mongol independence </w:t>
      </w:r>
      <w:r w:rsidR="00E37085" w:rsidRPr="00BE19E8">
        <w:rPr>
          <w:lang w:val="en-US"/>
        </w:rPr>
        <w:t>focused</w:t>
      </w:r>
      <w:r w:rsidR="001210F5" w:rsidRPr="00BE19E8">
        <w:rPr>
          <w:lang w:val="en-US"/>
        </w:rPr>
        <w:t xml:space="preserve"> on the character of the Manchu-Mongol relationship, which, in </w:t>
      </w:r>
      <w:r w:rsidR="00E42D90" w:rsidRPr="00BE19E8">
        <w:rPr>
          <w:lang w:val="en-US"/>
        </w:rPr>
        <w:t xml:space="preserve">the eyes of </w:t>
      </w:r>
      <w:proofErr w:type="spellStart"/>
      <w:r w:rsidR="001210F5" w:rsidRPr="00BE19E8">
        <w:rPr>
          <w:lang w:val="en-US"/>
        </w:rPr>
        <w:t>Qalqa</w:t>
      </w:r>
      <w:proofErr w:type="spellEnd"/>
      <w:r w:rsidR="001210F5" w:rsidRPr="00BE19E8">
        <w:rPr>
          <w:lang w:val="en-US"/>
        </w:rPr>
        <w:t xml:space="preserve"> Mongol </w:t>
      </w:r>
      <w:r w:rsidR="00E42D90" w:rsidRPr="00BE19E8">
        <w:rPr>
          <w:lang w:val="en-US"/>
        </w:rPr>
        <w:t>representatives</w:t>
      </w:r>
      <w:r w:rsidR="001210F5" w:rsidRPr="00BE19E8">
        <w:rPr>
          <w:lang w:val="en-US"/>
        </w:rPr>
        <w:t>, was founded on alliance rather than conquest (</w:t>
      </w:r>
      <w:proofErr w:type="spellStart"/>
      <w:r w:rsidR="001210F5" w:rsidRPr="00BE19E8">
        <w:rPr>
          <w:lang w:val="en-US"/>
        </w:rPr>
        <w:t>Bulag</w:t>
      </w:r>
      <w:proofErr w:type="spellEnd"/>
      <w:r w:rsidR="001210F5" w:rsidRPr="00BE19E8">
        <w:rPr>
          <w:lang w:val="en-US"/>
        </w:rPr>
        <w:t xml:space="preserve"> 2012).</w:t>
      </w:r>
    </w:p>
    <w:p w:rsidR="007049C4" w:rsidRDefault="00FE39EF" w:rsidP="007A08D0">
      <w:pPr>
        <w:jc w:val="both"/>
        <w:rPr>
          <w:lang w:val="en-US"/>
        </w:rPr>
      </w:pPr>
      <w:r w:rsidRPr="00BE19E8">
        <w:rPr>
          <w:lang w:val="en-US"/>
        </w:rPr>
        <w:t xml:space="preserve">The </w:t>
      </w:r>
      <w:proofErr w:type="spellStart"/>
      <w:r w:rsidRPr="00BE19E8">
        <w:rPr>
          <w:lang w:val="en-US"/>
        </w:rPr>
        <w:t>Oirats</w:t>
      </w:r>
      <w:proofErr w:type="spellEnd"/>
      <w:r w:rsidRPr="00BE19E8">
        <w:rPr>
          <w:lang w:val="en-US"/>
        </w:rPr>
        <w:t>, who after a series of vigorous</w:t>
      </w:r>
      <w:r>
        <w:rPr>
          <w:lang w:val="en-US"/>
        </w:rPr>
        <w:t xml:space="preserve"> campaigns were integrated between 1691 and 1771, were treated differently.</w:t>
      </w:r>
      <w:r w:rsidR="003B70E0">
        <w:rPr>
          <w:rStyle w:val="Endnotenzeichen"/>
          <w:lang w:val="en-US"/>
        </w:rPr>
        <w:endnoteReference w:id="6"/>
      </w:r>
      <w:r>
        <w:rPr>
          <w:lang w:val="en-US"/>
        </w:rPr>
        <w:t xml:space="preserve"> After paying a heavy price in blood, only few of them were resettled along the lines of the pattern tested among Eastern Mongol confederations. Most were intermingled and reorganized in newly created administrative units and were resettled in the </w:t>
      </w:r>
      <w:proofErr w:type="spellStart"/>
      <w:r>
        <w:rPr>
          <w:lang w:val="en-US"/>
        </w:rPr>
        <w:t>Khovd</w:t>
      </w:r>
      <w:proofErr w:type="spellEnd"/>
      <w:r>
        <w:rPr>
          <w:lang w:val="en-US"/>
        </w:rPr>
        <w:t xml:space="preserve"> and Amur regions, others were integrated into the Eight Banner system </w:t>
      </w:r>
      <w:r w:rsidR="00644725">
        <w:rPr>
          <w:lang w:val="en-US"/>
        </w:rPr>
        <w:t xml:space="preserve">(Elliott 2001) </w:t>
      </w:r>
      <w:r>
        <w:rPr>
          <w:lang w:val="en-US"/>
        </w:rPr>
        <w:t xml:space="preserve">or, as prisoners of war, degraded to the status of </w:t>
      </w:r>
      <w:r w:rsidRPr="00BE19E8">
        <w:rPr>
          <w:lang w:val="en-US"/>
        </w:rPr>
        <w:t>slaves</w:t>
      </w:r>
      <w:r w:rsidR="00644725" w:rsidRPr="00BE19E8">
        <w:rPr>
          <w:lang w:val="en-US"/>
        </w:rPr>
        <w:t xml:space="preserve"> (</w:t>
      </w:r>
      <w:proofErr w:type="spellStart"/>
      <w:r w:rsidR="00C42623" w:rsidRPr="00BE19E8">
        <w:rPr>
          <w:lang w:val="en-US"/>
        </w:rPr>
        <w:t>Oyunj</w:t>
      </w:r>
      <w:r w:rsidR="00644725" w:rsidRPr="00BE19E8">
        <w:rPr>
          <w:lang w:val="en-US"/>
        </w:rPr>
        <w:t>argal</w:t>
      </w:r>
      <w:proofErr w:type="spellEnd"/>
      <w:r w:rsidR="00644725" w:rsidRPr="00BE19E8">
        <w:rPr>
          <w:lang w:val="en-US"/>
        </w:rPr>
        <w:t xml:space="preserve"> 2011</w:t>
      </w:r>
      <w:r w:rsidR="00644725">
        <w:rPr>
          <w:lang w:val="en-US"/>
        </w:rPr>
        <w:t>: 5</w:t>
      </w:r>
      <w:r w:rsidR="00644725" w:rsidRPr="00644725">
        <w:rPr>
          <w:lang w:val="en-US"/>
        </w:rPr>
        <w:t>-20</w:t>
      </w:r>
      <w:r w:rsidR="00644725">
        <w:rPr>
          <w:lang w:val="en-US"/>
        </w:rPr>
        <w:t xml:space="preserve">; </w:t>
      </w:r>
      <w:r w:rsidR="00644725" w:rsidRPr="00644725">
        <w:rPr>
          <w:lang w:val="en-US"/>
        </w:rPr>
        <w:t>Perdue</w:t>
      </w:r>
      <w:r w:rsidR="00644725">
        <w:rPr>
          <w:lang w:val="en-US"/>
        </w:rPr>
        <w:t xml:space="preserve"> 2009</w:t>
      </w:r>
      <w:r w:rsidR="00D26458">
        <w:rPr>
          <w:lang w:val="en-US"/>
        </w:rPr>
        <w:t>b</w:t>
      </w:r>
      <w:r w:rsidR="00644725">
        <w:rPr>
          <w:lang w:val="en-US"/>
        </w:rPr>
        <w:t>:</w:t>
      </w:r>
      <w:r w:rsidR="00644725" w:rsidRPr="00644725">
        <w:rPr>
          <w:lang w:val="en-US"/>
        </w:rPr>
        <w:t xml:space="preserve"> 31/32</w:t>
      </w:r>
      <w:r w:rsidR="00644725">
        <w:rPr>
          <w:lang w:val="en-US"/>
        </w:rPr>
        <w:t>)</w:t>
      </w:r>
      <w:r>
        <w:rPr>
          <w:lang w:val="en-US"/>
        </w:rPr>
        <w:t>.</w:t>
      </w:r>
    </w:p>
    <w:p w:rsidR="007A08D0" w:rsidRDefault="007A08D0" w:rsidP="007A08D0">
      <w:pPr>
        <w:jc w:val="both"/>
        <w:rPr>
          <w:color w:val="7F7F7F" w:themeColor="text1" w:themeTint="80"/>
          <w:lang w:val="en-US"/>
        </w:rPr>
      </w:pPr>
    </w:p>
    <w:p w:rsidR="007049C4" w:rsidRDefault="007049C4">
      <w:pPr>
        <w:rPr>
          <w:b/>
          <w:lang w:val="en-US"/>
        </w:rPr>
      </w:pPr>
    </w:p>
    <w:p w:rsidR="00BC5BB6" w:rsidRPr="00ED7B65" w:rsidRDefault="00BC5BB6" w:rsidP="00BC5BB6">
      <w:pPr>
        <w:autoSpaceDE w:val="0"/>
        <w:autoSpaceDN w:val="0"/>
        <w:adjustRightInd w:val="0"/>
        <w:rPr>
          <w:b/>
          <w:lang w:val="en-US"/>
        </w:rPr>
      </w:pPr>
      <w:r>
        <w:rPr>
          <w:b/>
          <w:lang w:val="en-US"/>
        </w:rPr>
        <w:t xml:space="preserve">The Concept of </w:t>
      </w:r>
      <w:r w:rsidRPr="00ED7B65">
        <w:rPr>
          <w:b/>
          <w:lang w:val="en-US"/>
        </w:rPr>
        <w:t xml:space="preserve">Patronage and </w:t>
      </w:r>
      <w:r>
        <w:rPr>
          <w:b/>
          <w:lang w:val="en-US"/>
        </w:rPr>
        <w:t>T</w:t>
      </w:r>
      <w:r w:rsidRPr="00ED7B65">
        <w:rPr>
          <w:b/>
          <w:lang w:val="en-US"/>
        </w:rPr>
        <w:t xml:space="preserve">rends towards </w:t>
      </w:r>
      <w:r>
        <w:rPr>
          <w:b/>
          <w:lang w:val="en-US"/>
        </w:rPr>
        <w:t xml:space="preserve">Formalization of Language and </w:t>
      </w:r>
      <w:proofErr w:type="spellStart"/>
      <w:r>
        <w:rPr>
          <w:b/>
          <w:lang w:val="en-US"/>
        </w:rPr>
        <w:t>B</w:t>
      </w:r>
      <w:r w:rsidRPr="00ED7B65">
        <w:rPr>
          <w:b/>
          <w:lang w:val="en-US"/>
        </w:rPr>
        <w:t>ehaviour</w:t>
      </w:r>
      <w:proofErr w:type="spellEnd"/>
    </w:p>
    <w:p w:rsidR="00851850" w:rsidRDefault="00D55B6A" w:rsidP="00305C61">
      <w:pPr>
        <w:jc w:val="both"/>
        <w:rPr>
          <w:lang w:val="en-US"/>
        </w:rPr>
      </w:pPr>
      <w:r>
        <w:rPr>
          <w:lang w:val="en-US"/>
        </w:rPr>
        <w:t xml:space="preserve">This paper </w:t>
      </w:r>
      <w:r w:rsidR="00E82DF8">
        <w:rPr>
          <w:lang w:val="en-US"/>
        </w:rPr>
        <w:t>argue</w:t>
      </w:r>
      <w:r>
        <w:rPr>
          <w:lang w:val="en-US"/>
        </w:rPr>
        <w:t>s</w:t>
      </w:r>
      <w:r w:rsidR="00E82DF8">
        <w:rPr>
          <w:lang w:val="en-US"/>
        </w:rPr>
        <w:t xml:space="preserve"> that </w:t>
      </w:r>
      <w:r w:rsidR="00535A0B" w:rsidRPr="000261D6">
        <w:rPr>
          <w:lang w:val="en-US"/>
        </w:rPr>
        <w:t>political patronage and its potential to make in</w:t>
      </w:r>
      <w:r w:rsidR="00535A0B">
        <w:rPr>
          <w:lang w:val="en-US"/>
        </w:rPr>
        <w:t xml:space="preserve">dividuals part of groups and hierarchies </w:t>
      </w:r>
      <w:r w:rsidR="00096421">
        <w:rPr>
          <w:lang w:val="en-US"/>
        </w:rPr>
        <w:t>is a useful concept for explaining</w:t>
      </w:r>
      <w:r w:rsidR="0072441A">
        <w:rPr>
          <w:lang w:val="en-US"/>
        </w:rPr>
        <w:t xml:space="preserve"> the successful politics of the Qing in Inner Asia</w:t>
      </w:r>
      <w:r w:rsidR="007E26AA">
        <w:rPr>
          <w:lang w:val="en-US"/>
        </w:rPr>
        <w:t xml:space="preserve"> and especially their strategies of integrating Eastern Mongol confederations</w:t>
      </w:r>
      <w:r w:rsidR="00F86C3F">
        <w:rPr>
          <w:lang w:val="en-US"/>
        </w:rPr>
        <w:t xml:space="preserve"> in the 17</w:t>
      </w:r>
      <w:r w:rsidR="00F86C3F" w:rsidRPr="00F86C3F">
        <w:rPr>
          <w:vertAlign w:val="superscript"/>
          <w:lang w:val="en-US"/>
        </w:rPr>
        <w:t>th</w:t>
      </w:r>
      <w:r w:rsidR="00F86C3F">
        <w:rPr>
          <w:lang w:val="en-US"/>
        </w:rPr>
        <w:t xml:space="preserve"> century</w:t>
      </w:r>
      <w:r w:rsidR="00096421">
        <w:rPr>
          <w:lang w:val="en-US"/>
        </w:rPr>
        <w:t xml:space="preserve">. </w:t>
      </w:r>
      <w:r w:rsidR="004E2864">
        <w:rPr>
          <w:lang w:val="en-US"/>
        </w:rPr>
        <w:t>This is an important a</w:t>
      </w:r>
      <w:r w:rsidR="00875A81">
        <w:rPr>
          <w:lang w:val="en-US"/>
        </w:rPr>
        <w:t>spect, because for the Qing emperor the role of a patron granting protection and support was in accordance with the image</w:t>
      </w:r>
      <w:r w:rsidR="00EE5BF4">
        <w:rPr>
          <w:lang w:val="en-US"/>
        </w:rPr>
        <w:t xml:space="preserve"> of a patron of Tibetan Buddh</w:t>
      </w:r>
      <w:r>
        <w:rPr>
          <w:lang w:val="en-US"/>
        </w:rPr>
        <w:t>ism</w:t>
      </w:r>
      <w:r w:rsidR="00EE5BF4">
        <w:rPr>
          <w:lang w:val="en-US"/>
        </w:rPr>
        <w:t xml:space="preserve"> and sponsorship of Buddhist </w:t>
      </w:r>
      <w:r>
        <w:rPr>
          <w:lang w:val="en-US"/>
        </w:rPr>
        <w:t xml:space="preserve">art, </w:t>
      </w:r>
      <w:r w:rsidR="00EE5BF4">
        <w:rPr>
          <w:lang w:val="en-US"/>
        </w:rPr>
        <w:t>translations and printings</w:t>
      </w:r>
      <w:r w:rsidR="001A269B">
        <w:rPr>
          <w:lang w:val="en-US"/>
        </w:rPr>
        <w:t xml:space="preserve">. Likewise, the </w:t>
      </w:r>
      <w:r w:rsidR="004E2864">
        <w:rPr>
          <w:lang w:val="en-US"/>
        </w:rPr>
        <w:t xml:space="preserve">logic of patronage with its emphasis on </w:t>
      </w:r>
      <w:r w:rsidR="00D104BA">
        <w:rPr>
          <w:lang w:val="en-US"/>
        </w:rPr>
        <w:t xml:space="preserve">gifts and donations </w:t>
      </w:r>
      <w:r w:rsidR="00EE5BF4">
        <w:rPr>
          <w:lang w:val="en-US"/>
        </w:rPr>
        <w:t xml:space="preserve">blended together well with representations of the emperor as </w:t>
      </w:r>
      <w:proofErr w:type="spellStart"/>
      <w:r w:rsidR="00EE5BF4">
        <w:rPr>
          <w:lang w:val="en-US"/>
        </w:rPr>
        <w:t>Cakravartin</w:t>
      </w:r>
      <w:proofErr w:type="spellEnd"/>
      <w:r w:rsidR="00EE5BF4">
        <w:rPr>
          <w:lang w:val="en-US"/>
        </w:rPr>
        <w:t>, as “wheel-turning king”</w:t>
      </w:r>
      <w:r w:rsidR="00CD1103">
        <w:rPr>
          <w:lang w:val="en-US"/>
        </w:rPr>
        <w:t>, who was incumbent on establishing both religious and secular rule</w:t>
      </w:r>
      <w:r w:rsidR="00EE5BF4">
        <w:rPr>
          <w:lang w:val="en-US"/>
        </w:rPr>
        <w:t xml:space="preserve">. </w:t>
      </w:r>
      <w:r w:rsidR="00B337A3">
        <w:rPr>
          <w:lang w:val="en-US"/>
        </w:rPr>
        <w:t>Many scholars have stressed the importance of Buddhism as a cornerstone of Qing political stra</w:t>
      </w:r>
      <w:r w:rsidR="008D53D7">
        <w:rPr>
          <w:lang w:val="en-US"/>
        </w:rPr>
        <w:t>tegy in Inner Asia</w:t>
      </w:r>
      <w:r w:rsidR="00362F43">
        <w:rPr>
          <w:lang w:val="en-US"/>
        </w:rPr>
        <w:t xml:space="preserve">, and </w:t>
      </w:r>
      <w:r w:rsidR="008D53D7">
        <w:rPr>
          <w:lang w:val="en-US"/>
        </w:rPr>
        <w:t xml:space="preserve">most recently Johan </w:t>
      </w:r>
      <w:proofErr w:type="spellStart"/>
      <w:r w:rsidR="008D53D7">
        <w:rPr>
          <w:lang w:val="en-US"/>
        </w:rPr>
        <w:t>Elverskog</w:t>
      </w:r>
      <w:proofErr w:type="spellEnd"/>
      <w:r w:rsidR="008D53D7">
        <w:rPr>
          <w:lang w:val="en-US"/>
        </w:rPr>
        <w:t xml:space="preserve"> i</w:t>
      </w:r>
      <w:r w:rsidR="006C2FAB">
        <w:rPr>
          <w:lang w:val="en-US"/>
        </w:rPr>
        <w:t>nvestigated</w:t>
      </w:r>
      <w:r w:rsidR="008D53D7">
        <w:rPr>
          <w:lang w:val="en-US"/>
        </w:rPr>
        <w:t xml:space="preserve"> </w:t>
      </w:r>
      <w:r w:rsidR="00362F43">
        <w:rPr>
          <w:lang w:val="en-US"/>
        </w:rPr>
        <w:t xml:space="preserve">the role of Buddhism </w:t>
      </w:r>
      <w:r w:rsidR="00CD77CC">
        <w:rPr>
          <w:lang w:val="en-US"/>
        </w:rPr>
        <w:t>in redefining Mongol identity in relation to the Qing</w:t>
      </w:r>
      <w:r w:rsidR="008E4E46" w:rsidRPr="008E4E46">
        <w:rPr>
          <w:lang w:val="en-US"/>
        </w:rPr>
        <w:t xml:space="preserve"> </w:t>
      </w:r>
      <w:r w:rsidR="008E4E46">
        <w:rPr>
          <w:lang w:val="en-US"/>
        </w:rPr>
        <w:t>and in shaping Mongol discourses of self-representation and communal boundaries</w:t>
      </w:r>
      <w:r w:rsidR="00362F43">
        <w:rPr>
          <w:lang w:val="en-US"/>
        </w:rPr>
        <w:t>.</w:t>
      </w:r>
      <w:r w:rsidR="001054F9">
        <w:rPr>
          <w:lang w:val="en-US"/>
        </w:rPr>
        <w:t xml:space="preserve"> He showed that </w:t>
      </w:r>
      <w:r w:rsidR="001054F9">
        <w:rPr>
          <w:lang w:val="en-US"/>
        </w:rPr>
        <w:lastRenderedPageBreak/>
        <w:t>“Mongol Buddhist identity” was not static, but developed in a process of establishing Mongol history in the context of universal Buddhist history</w:t>
      </w:r>
      <w:r w:rsidR="00644725">
        <w:rPr>
          <w:lang w:val="en-US"/>
        </w:rPr>
        <w:t xml:space="preserve"> </w:t>
      </w:r>
      <w:r w:rsidR="00B0791D">
        <w:rPr>
          <w:lang w:val="en-US"/>
        </w:rPr>
        <w:t>(</w:t>
      </w:r>
      <w:proofErr w:type="spellStart"/>
      <w:r w:rsidR="00B0791D" w:rsidRPr="00B0791D">
        <w:rPr>
          <w:lang w:val="en-US"/>
        </w:rPr>
        <w:t>Elverskog</w:t>
      </w:r>
      <w:proofErr w:type="spellEnd"/>
      <w:r w:rsidR="00B0791D">
        <w:rPr>
          <w:lang w:val="en-US"/>
        </w:rPr>
        <w:t xml:space="preserve"> 2006: </w:t>
      </w:r>
      <w:r w:rsidR="00B0791D" w:rsidRPr="00B0791D">
        <w:rPr>
          <w:lang w:val="en-US"/>
        </w:rPr>
        <w:t>109-116</w:t>
      </w:r>
      <w:r w:rsidR="00B0791D">
        <w:rPr>
          <w:lang w:val="en-US"/>
        </w:rPr>
        <w:t xml:space="preserve">; </w:t>
      </w:r>
      <w:proofErr w:type="spellStart"/>
      <w:r w:rsidR="00B0791D" w:rsidRPr="00B0791D">
        <w:rPr>
          <w:lang w:val="en-US"/>
        </w:rPr>
        <w:t>Kollmar-Paulenz</w:t>
      </w:r>
      <w:proofErr w:type="spellEnd"/>
      <w:r w:rsidR="00B0791D">
        <w:rPr>
          <w:lang w:val="en-US"/>
        </w:rPr>
        <w:t xml:space="preserve"> 2005: </w:t>
      </w:r>
      <w:r w:rsidR="00B0791D" w:rsidRPr="00B0791D">
        <w:rPr>
          <w:lang w:val="en-US"/>
        </w:rPr>
        <w:t>210-216</w:t>
      </w:r>
      <w:r w:rsidR="00B0791D">
        <w:rPr>
          <w:lang w:val="en-US"/>
        </w:rPr>
        <w:t>)</w:t>
      </w:r>
      <w:r w:rsidR="001054F9">
        <w:rPr>
          <w:lang w:val="en-US"/>
        </w:rPr>
        <w:t>.</w:t>
      </w:r>
      <w:r w:rsidR="00F347B5">
        <w:rPr>
          <w:lang w:val="en-US"/>
        </w:rPr>
        <w:t xml:space="preserve"> </w:t>
      </w:r>
      <w:r w:rsidR="00734AB4">
        <w:rPr>
          <w:lang w:val="en-US"/>
        </w:rPr>
        <w:t>T</w:t>
      </w:r>
      <w:r w:rsidR="00BC222D">
        <w:rPr>
          <w:lang w:val="en-US"/>
        </w:rPr>
        <w:t>h</w:t>
      </w:r>
      <w:r w:rsidR="0072441A">
        <w:rPr>
          <w:lang w:val="en-US"/>
        </w:rPr>
        <w:t>e</w:t>
      </w:r>
      <w:r w:rsidR="00BC222D">
        <w:rPr>
          <w:lang w:val="en-US"/>
        </w:rPr>
        <w:t xml:space="preserve"> </w:t>
      </w:r>
      <w:r w:rsidR="00096421">
        <w:rPr>
          <w:lang w:val="en-US"/>
        </w:rPr>
        <w:t xml:space="preserve">technique </w:t>
      </w:r>
      <w:r w:rsidR="0072441A">
        <w:rPr>
          <w:lang w:val="en-US"/>
        </w:rPr>
        <w:t xml:space="preserve">of patronage </w:t>
      </w:r>
      <w:r w:rsidR="00BC222D">
        <w:rPr>
          <w:lang w:val="en-US"/>
        </w:rPr>
        <w:t xml:space="preserve">was developed and </w:t>
      </w:r>
      <w:r w:rsidR="00096421">
        <w:rPr>
          <w:lang w:val="en-US"/>
        </w:rPr>
        <w:t xml:space="preserve">employed in the interaction with </w:t>
      </w:r>
      <w:r w:rsidR="002C1D00">
        <w:rPr>
          <w:lang w:val="en-US"/>
        </w:rPr>
        <w:t>Mongol</w:t>
      </w:r>
      <w:r w:rsidR="00096421">
        <w:rPr>
          <w:lang w:val="en-US"/>
        </w:rPr>
        <w:t xml:space="preserve"> authorities in the early 17</w:t>
      </w:r>
      <w:r w:rsidR="00096421" w:rsidRPr="00AB7016">
        <w:rPr>
          <w:vertAlign w:val="superscript"/>
          <w:lang w:val="en-US"/>
        </w:rPr>
        <w:t>th</w:t>
      </w:r>
      <w:r w:rsidR="00096421">
        <w:rPr>
          <w:lang w:val="en-US"/>
        </w:rPr>
        <w:t xml:space="preserve"> century</w:t>
      </w:r>
      <w:r w:rsidR="00BC222D">
        <w:rPr>
          <w:lang w:val="en-US"/>
        </w:rPr>
        <w:t xml:space="preserve">, </w:t>
      </w:r>
      <w:r w:rsidR="00734AB4">
        <w:rPr>
          <w:lang w:val="en-US"/>
        </w:rPr>
        <w:t xml:space="preserve">at a time, when </w:t>
      </w:r>
      <w:r w:rsidR="00851850">
        <w:rPr>
          <w:lang w:val="en-US"/>
        </w:rPr>
        <w:t xml:space="preserve">Buddhist notions of </w:t>
      </w:r>
      <w:proofErr w:type="spellStart"/>
      <w:r w:rsidR="00851850">
        <w:rPr>
          <w:lang w:val="en-US"/>
        </w:rPr>
        <w:t>rulership</w:t>
      </w:r>
      <w:proofErr w:type="spellEnd"/>
      <w:r w:rsidR="00851850">
        <w:rPr>
          <w:lang w:val="en-US"/>
        </w:rPr>
        <w:t xml:space="preserve"> were not a decisive factor in Manchu-Mongol </w:t>
      </w:r>
      <w:r w:rsidR="006C2FAB">
        <w:rPr>
          <w:lang w:val="en-US"/>
        </w:rPr>
        <w:t>political relations</w:t>
      </w:r>
      <w:r w:rsidR="00B0791D">
        <w:rPr>
          <w:lang w:val="en-US"/>
        </w:rPr>
        <w:t xml:space="preserve"> (Di Cosmo 2006: 262)</w:t>
      </w:r>
      <w:r w:rsidR="00851850">
        <w:rPr>
          <w:lang w:val="en-US"/>
        </w:rPr>
        <w:t xml:space="preserve">. </w:t>
      </w:r>
      <w:r w:rsidR="00826F54">
        <w:rPr>
          <w:lang w:val="en-US"/>
        </w:rPr>
        <w:t xml:space="preserve">However, by </w:t>
      </w:r>
      <w:r w:rsidR="006C2FAB">
        <w:rPr>
          <w:lang w:val="en-US"/>
        </w:rPr>
        <w:t>quali</w:t>
      </w:r>
      <w:r w:rsidR="00826F54">
        <w:rPr>
          <w:lang w:val="en-US"/>
        </w:rPr>
        <w:t>fying the Manchu ruler as protecting, benef</w:t>
      </w:r>
      <w:r w:rsidR="006C2FAB">
        <w:rPr>
          <w:lang w:val="en-US"/>
        </w:rPr>
        <w:t xml:space="preserve">icent, </w:t>
      </w:r>
      <w:r w:rsidR="00826F54">
        <w:rPr>
          <w:lang w:val="en-US"/>
        </w:rPr>
        <w:t>kind and forgiving</w:t>
      </w:r>
      <w:r w:rsidR="003C0719">
        <w:rPr>
          <w:lang w:val="en-US"/>
        </w:rPr>
        <w:t>,</w:t>
      </w:r>
      <w:r w:rsidR="00826F54">
        <w:rPr>
          <w:lang w:val="en-US"/>
        </w:rPr>
        <w:t xml:space="preserve"> it provided </w:t>
      </w:r>
      <w:r w:rsidR="009F4FA1">
        <w:rPr>
          <w:lang w:val="en-US"/>
        </w:rPr>
        <w:t>a</w:t>
      </w:r>
      <w:r w:rsidR="00F86C3F">
        <w:rPr>
          <w:lang w:val="en-US"/>
        </w:rPr>
        <w:t>n interpretative</w:t>
      </w:r>
      <w:r w:rsidR="009F4FA1">
        <w:rPr>
          <w:lang w:val="en-US"/>
        </w:rPr>
        <w:t xml:space="preserve"> framework </w:t>
      </w:r>
      <w:r w:rsidR="00CF060F">
        <w:rPr>
          <w:lang w:val="en-US"/>
        </w:rPr>
        <w:t xml:space="preserve">for </w:t>
      </w:r>
      <w:r w:rsidR="009F4FA1">
        <w:rPr>
          <w:lang w:val="en-US"/>
        </w:rPr>
        <w:t xml:space="preserve">future </w:t>
      </w:r>
      <w:r w:rsidR="00CF060F">
        <w:rPr>
          <w:lang w:val="en-US"/>
        </w:rPr>
        <w:t xml:space="preserve">representations of </w:t>
      </w:r>
      <w:r w:rsidR="00802852">
        <w:rPr>
          <w:lang w:val="en-US"/>
        </w:rPr>
        <w:t xml:space="preserve">the position of </w:t>
      </w:r>
      <w:r w:rsidR="003C0719">
        <w:rPr>
          <w:lang w:val="en-US"/>
        </w:rPr>
        <w:t>the emperor vis-à-vis his Mongol subjects</w:t>
      </w:r>
      <w:r w:rsidR="00826F54">
        <w:rPr>
          <w:lang w:val="en-US"/>
        </w:rPr>
        <w:t>.</w:t>
      </w:r>
      <w:r w:rsidR="00B0791D" w:rsidRPr="00B0791D">
        <w:rPr>
          <w:lang w:val="en-US"/>
        </w:rPr>
        <w:t xml:space="preserve"> The fact that worship of the emperor was not only rooted in Buddhism has also been noticed by Atwood, who concludes: “To speak then of religion in Mongolia, and the sacredness of the emperor, is not necessarily to speak only of Buddhism and the emperor as an incarnation </w:t>
      </w:r>
      <w:r w:rsidR="00B0791D" w:rsidRPr="008D3208">
        <w:rPr>
          <w:lang w:val="en-US"/>
        </w:rPr>
        <w:t xml:space="preserve">of </w:t>
      </w:r>
      <w:proofErr w:type="spellStart"/>
      <w:r w:rsidR="00B0791D" w:rsidRPr="008D3208">
        <w:rPr>
          <w:lang w:val="en-US"/>
        </w:rPr>
        <w:t>Ma</w:t>
      </w:r>
      <w:hyperlink r:id="rId8" w:tooltip="Mañjuśrī-mūla-kalpa" w:history="1">
        <w:r w:rsidR="00B0791D" w:rsidRPr="008D3208">
          <w:rPr>
            <w:rStyle w:val="Hyperlink"/>
            <w:color w:val="auto"/>
            <w:u w:val="none"/>
            <w:lang w:val="en-US"/>
          </w:rPr>
          <w:t>ñjušrī</w:t>
        </w:r>
        <w:proofErr w:type="spellEnd"/>
      </w:hyperlink>
      <w:r w:rsidR="00B0791D" w:rsidRPr="008D3208">
        <w:rPr>
          <w:lang w:val="en-US"/>
        </w:rPr>
        <w:t>. Thus</w:t>
      </w:r>
      <w:r w:rsidR="00B0791D" w:rsidRPr="00B0791D">
        <w:rPr>
          <w:lang w:val="en-US"/>
        </w:rPr>
        <w:t xml:space="preserve"> his hold upon the loyalties of his Mongolian subjects, while not of course absolute, was to a large degree independent of any other competing political or religious system</w:t>
      </w:r>
      <w:r w:rsidR="00B0791D">
        <w:rPr>
          <w:lang w:val="en-US"/>
        </w:rPr>
        <w:t xml:space="preserve"> of legitimation</w:t>
      </w:r>
      <w:r w:rsidR="00B0791D" w:rsidRPr="00B0791D">
        <w:rPr>
          <w:lang w:val="en-US"/>
        </w:rPr>
        <w:t>”</w:t>
      </w:r>
      <w:r w:rsidR="00B0791D">
        <w:rPr>
          <w:lang w:val="en-US"/>
        </w:rPr>
        <w:t xml:space="preserve"> (2000: 129/130).</w:t>
      </w:r>
      <w:r w:rsidR="00CF060F">
        <w:rPr>
          <w:lang w:val="en-US"/>
        </w:rPr>
        <w:t xml:space="preserve"> </w:t>
      </w:r>
    </w:p>
    <w:p w:rsidR="00851850" w:rsidRDefault="00851850" w:rsidP="00305C61">
      <w:pPr>
        <w:jc w:val="both"/>
        <w:rPr>
          <w:lang w:val="en-US"/>
        </w:rPr>
      </w:pPr>
    </w:p>
    <w:p w:rsidR="00A27481" w:rsidRDefault="00EA0110" w:rsidP="00305C61">
      <w:pPr>
        <w:autoSpaceDE w:val="0"/>
        <w:autoSpaceDN w:val="0"/>
        <w:adjustRightInd w:val="0"/>
        <w:jc w:val="both"/>
        <w:rPr>
          <w:lang w:val="en-US"/>
        </w:rPr>
      </w:pPr>
      <w:r>
        <w:rPr>
          <w:lang w:val="en-US"/>
        </w:rPr>
        <w:t xml:space="preserve">It should be made very clear that this does not mean that the Qing emperors governed their Inner Asian </w:t>
      </w:r>
      <w:r w:rsidRPr="00BE19E8">
        <w:rPr>
          <w:lang w:val="en-US"/>
        </w:rPr>
        <w:t>dependencies</w:t>
      </w:r>
      <w:r w:rsidR="00685E5F" w:rsidRPr="00BE19E8">
        <w:rPr>
          <w:lang w:val="en-US"/>
        </w:rPr>
        <w:t xml:space="preserve"> </w:t>
      </w:r>
      <w:r w:rsidR="00816D44" w:rsidRPr="00BE19E8">
        <w:rPr>
          <w:lang w:val="en-US"/>
        </w:rPr>
        <w:t xml:space="preserve">solely </w:t>
      </w:r>
      <w:r w:rsidR="00685E5F" w:rsidRPr="00BE19E8">
        <w:rPr>
          <w:lang w:val="en-US"/>
        </w:rPr>
        <w:t>by means</w:t>
      </w:r>
      <w:r w:rsidR="00685E5F">
        <w:rPr>
          <w:lang w:val="en-US"/>
        </w:rPr>
        <w:t xml:space="preserve"> of patronage</w:t>
      </w:r>
      <w:r>
        <w:rPr>
          <w:lang w:val="en-US"/>
        </w:rPr>
        <w:t>.</w:t>
      </w:r>
      <w:r w:rsidR="007141B7" w:rsidRPr="000261D6">
        <w:rPr>
          <w:lang w:val="en-US"/>
        </w:rPr>
        <w:t xml:space="preserve"> </w:t>
      </w:r>
      <w:r>
        <w:rPr>
          <w:lang w:val="en-US"/>
        </w:rPr>
        <w:t xml:space="preserve">On top of </w:t>
      </w:r>
      <w:r w:rsidR="00685E5F">
        <w:rPr>
          <w:lang w:val="en-US"/>
        </w:rPr>
        <w:t xml:space="preserve">the </w:t>
      </w:r>
      <w:r>
        <w:rPr>
          <w:lang w:val="en-US"/>
        </w:rPr>
        <w:t>local network</w:t>
      </w:r>
      <w:r w:rsidR="00685E5F">
        <w:rPr>
          <w:lang w:val="en-US"/>
        </w:rPr>
        <w:t xml:space="preserve"> formed by </w:t>
      </w:r>
      <w:r w:rsidR="003C28A1">
        <w:rPr>
          <w:lang w:val="en-US"/>
        </w:rPr>
        <w:t>secular and religious authorities</w:t>
      </w:r>
      <w:r w:rsidR="00685E5F">
        <w:rPr>
          <w:lang w:val="en-US"/>
        </w:rPr>
        <w:t>,</w:t>
      </w:r>
      <w:r>
        <w:rPr>
          <w:lang w:val="en-US"/>
        </w:rPr>
        <w:t xml:space="preserve"> the Qing over the course of the 18</w:t>
      </w:r>
      <w:r w:rsidRPr="00DF67C5">
        <w:rPr>
          <w:vertAlign w:val="superscript"/>
          <w:lang w:val="en-US"/>
        </w:rPr>
        <w:t>th</w:t>
      </w:r>
      <w:r>
        <w:rPr>
          <w:lang w:val="en-US"/>
        </w:rPr>
        <w:t xml:space="preserve"> century overlaid a further system of imperial representatives, who exercised control more directly and were backed up by military garrisons</w:t>
      </w:r>
      <w:r w:rsidR="0028771B">
        <w:rPr>
          <w:lang w:val="en-US"/>
        </w:rPr>
        <w:t xml:space="preserve"> (</w:t>
      </w:r>
      <w:proofErr w:type="spellStart"/>
      <w:r w:rsidR="0028771B" w:rsidRPr="0028771B">
        <w:rPr>
          <w:lang w:val="en-US"/>
        </w:rPr>
        <w:t>Millward</w:t>
      </w:r>
      <w:proofErr w:type="spellEnd"/>
      <w:r w:rsidR="0028771B">
        <w:rPr>
          <w:lang w:val="en-US"/>
        </w:rPr>
        <w:t xml:space="preserve"> 2004: </w:t>
      </w:r>
      <w:r w:rsidR="0028771B" w:rsidRPr="0028771B">
        <w:rPr>
          <w:lang w:val="en-US"/>
        </w:rPr>
        <w:t>101</w:t>
      </w:r>
      <w:r w:rsidR="0028771B">
        <w:rPr>
          <w:lang w:val="en-US"/>
        </w:rPr>
        <w:t>)</w:t>
      </w:r>
      <w:r>
        <w:rPr>
          <w:lang w:val="en-US"/>
        </w:rPr>
        <w:t>. The conventions and formali</w:t>
      </w:r>
      <w:r w:rsidR="00E755F5">
        <w:rPr>
          <w:lang w:val="en-US"/>
        </w:rPr>
        <w:t>z</w:t>
      </w:r>
      <w:r>
        <w:rPr>
          <w:lang w:val="en-US"/>
        </w:rPr>
        <w:t xml:space="preserve">ed mechanisms of political patronage, however, were retained and </w:t>
      </w:r>
      <w:r w:rsidR="001D195D">
        <w:rPr>
          <w:lang w:val="en-US"/>
        </w:rPr>
        <w:t>mirrored</w:t>
      </w:r>
      <w:r>
        <w:rPr>
          <w:lang w:val="en-US"/>
        </w:rPr>
        <w:t xml:space="preserve"> in the </w:t>
      </w:r>
      <w:proofErr w:type="spellStart"/>
      <w:r>
        <w:rPr>
          <w:lang w:val="en-US"/>
        </w:rPr>
        <w:t>organisation</w:t>
      </w:r>
      <w:proofErr w:type="spellEnd"/>
      <w:r>
        <w:rPr>
          <w:lang w:val="en-US"/>
        </w:rPr>
        <w:t xml:space="preserve"> of the </w:t>
      </w:r>
      <w:proofErr w:type="spellStart"/>
      <w:r>
        <w:rPr>
          <w:lang w:val="en-US"/>
        </w:rPr>
        <w:t>Lifanyuan</w:t>
      </w:r>
      <w:proofErr w:type="spellEnd"/>
      <w:r>
        <w:rPr>
          <w:lang w:val="en-US"/>
        </w:rPr>
        <w:t xml:space="preserve"> and its routine procedures</w:t>
      </w:r>
      <w:r w:rsidR="00A27481">
        <w:rPr>
          <w:lang w:val="en-US"/>
        </w:rPr>
        <w:t xml:space="preserve">: </w:t>
      </w:r>
      <w:r w:rsidR="002A29D6">
        <w:rPr>
          <w:lang w:val="en-US"/>
        </w:rPr>
        <w:t>This office</w:t>
      </w:r>
      <w:r w:rsidR="00A27481">
        <w:rPr>
          <w:lang w:val="en-US"/>
        </w:rPr>
        <w:t xml:space="preserve"> was responsible fo</w:t>
      </w:r>
      <w:r w:rsidR="00994D60">
        <w:rPr>
          <w:lang w:val="en-US"/>
        </w:rPr>
        <w:t xml:space="preserve">r staging the elaborate </w:t>
      </w:r>
      <w:r w:rsidR="00A2360D">
        <w:rPr>
          <w:lang w:val="en-US"/>
        </w:rPr>
        <w:t>ceremonies</w:t>
      </w:r>
      <w:r w:rsidR="00994D60">
        <w:rPr>
          <w:lang w:val="en-US"/>
        </w:rPr>
        <w:t xml:space="preserve">, which were designed to demonstrate the bond between Inner Asian political leaders and the emperor. </w:t>
      </w:r>
      <w:r w:rsidR="002D12AE">
        <w:rPr>
          <w:lang w:val="en-US"/>
        </w:rPr>
        <w:t>Its duties</w:t>
      </w:r>
      <w:r w:rsidR="00994D60">
        <w:rPr>
          <w:lang w:val="en-US"/>
        </w:rPr>
        <w:t xml:space="preserve"> </w:t>
      </w:r>
      <w:r w:rsidR="001C50F8">
        <w:rPr>
          <w:lang w:val="en-US"/>
        </w:rPr>
        <w:t xml:space="preserve">included </w:t>
      </w:r>
      <w:r w:rsidR="00A2360D">
        <w:rPr>
          <w:lang w:val="en-US"/>
        </w:rPr>
        <w:t xml:space="preserve">supervision of </w:t>
      </w:r>
      <w:r w:rsidR="001C50F8">
        <w:rPr>
          <w:lang w:val="en-US"/>
        </w:rPr>
        <w:t xml:space="preserve">practices </w:t>
      </w:r>
      <w:r w:rsidR="00994D60">
        <w:rPr>
          <w:lang w:val="en-US"/>
        </w:rPr>
        <w:t>like the Imperial Hunt, scheduled visits to the court and tribute missions</w:t>
      </w:r>
      <w:r w:rsidR="001C50F8">
        <w:rPr>
          <w:lang w:val="en-US"/>
        </w:rPr>
        <w:t xml:space="preserve">. All these performances </w:t>
      </w:r>
      <w:r w:rsidR="00994D60">
        <w:rPr>
          <w:lang w:val="en-US"/>
        </w:rPr>
        <w:t xml:space="preserve">were outward signs of the loyalty of </w:t>
      </w:r>
      <w:r w:rsidR="009E43AE">
        <w:rPr>
          <w:lang w:val="en-US"/>
        </w:rPr>
        <w:t>Inner Asian followers of the Qing, and, at the same time, demon</w:t>
      </w:r>
      <w:r w:rsidR="008562F7">
        <w:rPr>
          <w:lang w:val="en-US"/>
        </w:rPr>
        <w:t>s</w:t>
      </w:r>
      <w:r w:rsidR="009E43AE">
        <w:rPr>
          <w:lang w:val="en-US"/>
        </w:rPr>
        <w:t>trated that the emperor w</w:t>
      </w:r>
      <w:r w:rsidR="008562F7">
        <w:rPr>
          <w:lang w:val="en-US"/>
        </w:rPr>
        <w:t xml:space="preserve">as going to take his part as the one who offered </w:t>
      </w:r>
      <w:r w:rsidR="002D12AE">
        <w:rPr>
          <w:lang w:val="en-US"/>
        </w:rPr>
        <w:t xml:space="preserve">status and </w:t>
      </w:r>
      <w:r w:rsidR="008562F7">
        <w:rPr>
          <w:lang w:val="en-US"/>
        </w:rPr>
        <w:t>support</w:t>
      </w:r>
      <w:r w:rsidR="0028771B" w:rsidRPr="0028771B">
        <w:rPr>
          <w:lang w:val="en-US"/>
        </w:rPr>
        <w:t xml:space="preserve"> </w:t>
      </w:r>
      <w:r w:rsidR="0028771B">
        <w:rPr>
          <w:lang w:val="en-US"/>
        </w:rPr>
        <w:t>(</w:t>
      </w:r>
      <w:r w:rsidR="0028771B" w:rsidRPr="0028771B">
        <w:rPr>
          <w:lang w:val="en-US"/>
        </w:rPr>
        <w:t>Rowe</w:t>
      </w:r>
      <w:r w:rsidR="0028771B">
        <w:rPr>
          <w:lang w:val="en-US"/>
        </w:rPr>
        <w:t xml:space="preserve"> 2009:</w:t>
      </w:r>
      <w:r w:rsidR="0028771B" w:rsidRPr="0028771B">
        <w:rPr>
          <w:lang w:val="en-US"/>
        </w:rPr>
        <w:t xml:space="preserve"> 39</w:t>
      </w:r>
      <w:r w:rsidR="0028771B">
        <w:rPr>
          <w:lang w:val="en-US"/>
        </w:rPr>
        <w:t>)</w:t>
      </w:r>
      <w:r w:rsidR="008562F7">
        <w:rPr>
          <w:lang w:val="en-US"/>
        </w:rPr>
        <w:t>.</w:t>
      </w:r>
      <w:r w:rsidR="00994D60">
        <w:rPr>
          <w:lang w:val="en-US"/>
        </w:rPr>
        <w:t xml:space="preserve"> </w:t>
      </w:r>
      <w:r w:rsidR="008562F7">
        <w:rPr>
          <w:lang w:val="en-US"/>
        </w:rPr>
        <w:t xml:space="preserve">Another important task field of the </w:t>
      </w:r>
      <w:proofErr w:type="spellStart"/>
      <w:r w:rsidR="008562F7">
        <w:rPr>
          <w:lang w:val="en-US"/>
        </w:rPr>
        <w:t>Lifanyuan</w:t>
      </w:r>
      <w:proofErr w:type="spellEnd"/>
      <w:r w:rsidR="008562F7">
        <w:rPr>
          <w:lang w:val="en-US"/>
        </w:rPr>
        <w:t xml:space="preserve"> was the administration of justice over Mongols</w:t>
      </w:r>
      <w:r w:rsidR="008D3208">
        <w:rPr>
          <w:lang w:val="en-US"/>
        </w:rPr>
        <w:t xml:space="preserve"> (</w:t>
      </w:r>
      <w:proofErr w:type="spellStart"/>
      <w:r w:rsidR="008D3208">
        <w:rPr>
          <w:lang w:val="en-US"/>
        </w:rPr>
        <w:t>Heuschert</w:t>
      </w:r>
      <w:proofErr w:type="spellEnd"/>
      <w:r w:rsidR="008D3208">
        <w:rPr>
          <w:lang w:val="en-US"/>
        </w:rPr>
        <w:t>: 1998)</w:t>
      </w:r>
      <w:r w:rsidR="008562F7">
        <w:rPr>
          <w:lang w:val="en-US"/>
        </w:rPr>
        <w:t xml:space="preserve">. </w:t>
      </w:r>
      <w:r w:rsidR="00133EE5" w:rsidRPr="00133EE5">
        <w:rPr>
          <w:lang w:val="en-US"/>
        </w:rPr>
        <w:t xml:space="preserve">However, as has been argued by </w:t>
      </w:r>
      <w:proofErr w:type="spellStart"/>
      <w:r w:rsidR="00133EE5" w:rsidRPr="00133EE5">
        <w:rPr>
          <w:lang w:val="en-US"/>
        </w:rPr>
        <w:t>Heuschert-Laage</w:t>
      </w:r>
      <w:proofErr w:type="spellEnd"/>
      <w:r w:rsidR="00133EE5" w:rsidRPr="00133EE5">
        <w:rPr>
          <w:lang w:val="en-US"/>
        </w:rPr>
        <w:t xml:space="preserve">, </w:t>
      </w:r>
      <w:r w:rsidR="008562F7">
        <w:rPr>
          <w:lang w:val="en-US"/>
        </w:rPr>
        <w:t xml:space="preserve">dispensation of justice was another means for the Manchu ruler to </w:t>
      </w:r>
      <w:r w:rsidR="00936D20">
        <w:rPr>
          <w:lang w:val="en-US"/>
        </w:rPr>
        <w:t>display his ability to protect people and property</w:t>
      </w:r>
      <w:r w:rsidR="0028771B" w:rsidRPr="0028771B">
        <w:rPr>
          <w:lang w:val="en-US"/>
        </w:rPr>
        <w:t xml:space="preserve"> </w:t>
      </w:r>
      <w:r w:rsidR="0028771B">
        <w:rPr>
          <w:lang w:val="en-US"/>
        </w:rPr>
        <w:t>(2012:</w:t>
      </w:r>
      <w:r w:rsidR="0028771B" w:rsidRPr="0028771B">
        <w:rPr>
          <w:lang w:val="en-US"/>
        </w:rPr>
        <w:t xml:space="preserve"> 5/6</w:t>
      </w:r>
      <w:r w:rsidR="0028771B">
        <w:rPr>
          <w:lang w:val="en-US"/>
        </w:rPr>
        <w:t>)</w:t>
      </w:r>
      <w:r w:rsidR="00936D20">
        <w:rPr>
          <w:lang w:val="en-US"/>
        </w:rPr>
        <w:t xml:space="preserve">, and thus </w:t>
      </w:r>
      <w:r w:rsidR="00420DC7">
        <w:rPr>
          <w:lang w:val="en-US"/>
        </w:rPr>
        <w:t xml:space="preserve">contributed to his image as a patron. </w:t>
      </w:r>
      <w:r w:rsidR="00A27481">
        <w:rPr>
          <w:lang w:val="en-US"/>
        </w:rPr>
        <w:t xml:space="preserve">It is true that the </w:t>
      </w:r>
      <w:proofErr w:type="spellStart"/>
      <w:r w:rsidR="00A27481">
        <w:rPr>
          <w:lang w:val="en-US"/>
        </w:rPr>
        <w:t>Lifanyuan</w:t>
      </w:r>
      <w:proofErr w:type="spellEnd"/>
      <w:r w:rsidR="00A27481">
        <w:rPr>
          <w:lang w:val="en-US"/>
        </w:rPr>
        <w:t xml:space="preserve"> also assumed responsibilities, which went beyond the concept of patronage, as, for example, it collected the maps each banner had to hand in in regular intervals. These, however, were tasks it</w:t>
      </w:r>
      <w:r w:rsidR="002D12AE">
        <w:rPr>
          <w:lang w:val="en-US"/>
        </w:rPr>
        <w:t xml:space="preserve"> took over in the later part of the dynasty</w:t>
      </w:r>
      <w:r w:rsidR="00A27481">
        <w:rPr>
          <w:lang w:val="en-US"/>
        </w:rPr>
        <w:t>, as banner boundaries were not strictly defined before the 19</w:t>
      </w:r>
      <w:r w:rsidR="00A27481" w:rsidRPr="00D401E0">
        <w:rPr>
          <w:vertAlign w:val="superscript"/>
          <w:lang w:val="en-US"/>
        </w:rPr>
        <w:t>th</w:t>
      </w:r>
      <w:r w:rsidR="00A27481">
        <w:rPr>
          <w:lang w:val="en-US"/>
        </w:rPr>
        <w:t xml:space="preserve"> century</w:t>
      </w:r>
      <w:r w:rsidR="0028771B" w:rsidRPr="0028771B">
        <w:rPr>
          <w:lang w:val="en-US"/>
        </w:rPr>
        <w:t xml:space="preserve"> </w:t>
      </w:r>
      <w:r w:rsidR="0028771B">
        <w:rPr>
          <w:lang w:val="en-US"/>
        </w:rPr>
        <w:t>(</w:t>
      </w:r>
      <w:proofErr w:type="spellStart"/>
      <w:r w:rsidR="0028771B">
        <w:rPr>
          <w:lang w:val="en-US"/>
        </w:rPr>
        <w:t>Bawden</w:t>
      </w:r>
      <w:proofErr w:type="spellEnd"/>
      <w:r w:rsidR="0028771B">
        <w:rPr>
          <w:lang w:val="en-US"/>
        </w:rPr>
        <w:t xml:space="preserve"> 1968:</w:t>
      </w:r>
      <w:r w:rsidR="0028771B" w:rsidRPr="0028771B">
        <w:rPr>
          <w:lang w:val="en-US"/>
        </w:rPr>
        <w:t xml:space="preserve"> 90</w:t>
      </w:r>
      <w:r w:rsidR="0028771B">
        <w:rPr>
          <w:lang w:val="en-US"/>
        </w:rPr>
        <w:t>;</w:t>
      </w:r>
      <w:r w:rsidR="0028771B" w:rsidRPr="0028771B">
        <w:rPr>
          <w:lang w:val="en-US"/>
        </w:rPr>
        <w:t xml:space="preserve"> </w:t>
      </w:r>
      <w:proofErr w:type="spellStart"/>
      <w:r w:rsidR="0028771B" w:rsidRPr="0028771B">
        <w:rPr>
          <w:lang w:val="en-US"/>
        </w:rPr>
        <w:t>Kamimura</w:t>
      </w:r>
      <w:proofErr w:type="spellEnd"/>
      <w:r w:rsidR="0028771B">
        <w:rPr>
          <w:lang w:val="en-US"/>
        </w:rPr>
        <w:t xml:space="preserve"> 2005: </w:t>
      </w:r>
      <w:r w:rsidR="0028771B" w:rsidRPr="0028771B">
        <w:rPr>
          <w:lang w:val="en-US"/>
        </w:rPr>
        <w:t>14</w:t>
      </w:r>
      <w:r w:rsidR="0028771B">
        <w:rPr>
          <w:lang w:val="en-US"/>
        </w:rPr>
        <w:t>)</w:t>
      </w:r>
      <w:r w:rsidR="00A27481">
        <w:rPr>
          <w:lang w:val="en-US"/>
        </w:rPr>
        <w:t xml:space="preserve">. </w:t>
      </w:r>
    </w:p>
    <w:p w:rsidR="00D073C0" w:rsidRDefault="00D073C0" w:rsidP="00305C61">
      <w:pPr>
        <w:jc w:val="both"/>
        <w:rPr>
          <w:lang w:val="en-US"/>
        </w:rPr>
      </w:pPr>
    </w:p>
    <w:p w:rsidR="006412E0" w:rsidRDefault="00A27481" w:rsidP="00305C61">
      <w:pPr>
        <w:jc w:val="both"/>
        <w:rPr>
          <w:lang w:val="en-US"/>
        </w:rPr>
      </w:pPr>
      <w:r>
        <w:rPr>
          <w:lang w:val="en-US"/>
        </w:rPr>
        <w:t xml:space="preserve">The concept of patronage as a </w:t>
      </w:r>
      <w:r w:rsidR="001D195D">
        <w:rPr>
          <w:lang w:val="en-US"/>
        </w:rPr>
        <w:t>model</w:t>
      </w:r>
      <w:r>
        <w:rPr>
          <w:lang w:val="en-US"/>
        </w:rPr>
        <w:t xml:space="preserve"> for </w:t>
      </w:r>
      <w:r w:rsidRPr="00762516">
        <w:rPr>
          <w:lang w:val="en-US"/>
        </w:rPr>
        <w:t xml:space="preserve">understanding Qing rule in Inner Asia so far has been mainly applied </w:t>
      </w:r>
      <w:r>
        <w:rPr>
          <w:lang w:val="en-US"/>
        </w:rPr>
        <w:t>to the Qing emperor’s efforts vis-à-vis religious authorities</w:t>
      </w:r>
      <w:r w:rsidR="0028771B" w:rsidRPr="0028771B">
        <w:rPr>
          <w:lang w:val="en-US"/>
        </w:rPr>
        <w:t xml:space="preserve"> </w:t>
      </w:r>
      <w:r w:rsidR="0028771B">
        <w:rPr>
          <w:lang w:val="en-US"/>
        </w:rPr>
        <w:t>(</w:t>
      </w:r>
      <w:r w:rsidR="0028771B" w:rsidRPr="0028771B">
        <w:rPr>
          <w:lang w:val="en-US"/>
        </w:rPr>
        <w:t>Farquhar</w:t>
      </w:r>
      <w:r w:rsidR="0028771B">
        <w:rPr>
          <w:lang w:val="en-US"/>
        </w:rPr>
        <w:t xml:space="preserve"> 1978; </w:t>
      </w:r>
      <w:proofErr w:type="spellStart"/>
      <w:r w:rsidR="0028771B" w:rsidRPr="0028771B">
        <w:rPr>
          <w:lang w:val="en-US"/>
        </w:rPr>
        <w:t>Köhle</w:t>
      </w:r>
      <w:proofErr w:type="spellEnd"/>
      <w:r w:rsidR="0028771B">
        <w:rPr>
          <w:lang w:val="en-US"/>
        </w:rPr>
        <w:t xml:space="preserve"> 2008)</w:t>
      </w:r>
      <w:r w:rsidRPr="00762516">
        <w:rPr>
          <w:lang w:val="en-US"/>
        </w:rPr>
        <w:t>.</w:t>
      </w:r>
      <w:r>
        <w:rPr>
          <w:lang w:val="en-US"/>
        </w:rPr>
        <w:t xml:space="preserve"> In this </w:t>
      </w:r>
      <w:r w:rsidR="00B4106A">
        <w:rPr>
          <w:lang w:val="en-US"/>
        </w:rPr>
        <w:t>paper I will discuss the patronage</w:t>
      </w:r>
      <w:r>
        <w:rPr>
          <w:lang w:val="en-US"/>
        </w:rPr>
        <w:t xml:space="preserve"> relationship the Qing </w:t>
      </w:r>
      <w:r w:rsidRPr="00817874">
        <w:rPr>
          <w:lang w:val="en-US"/>
        </w:rPr>
        <w:t>emperors had developed with worldly authorities, and will point out that this concept – or</w:t>
      </w:r>
      <w:r w:rsidR="001A232C">
        <w:rPr>
          <w:lang w:val="en-US"/>
        </w:rPr>
        <w:t xml:space="preserve"> rather</w:t>
      </w:r>
      <w:r w:rsidRPr="00817874">
        <w:rPr>
          <w:lang w:val="en-US"/>
        </w:rPr>
        <w:t xml:space="preserve"> the façade of it - had repercussions on Qing institution building</w:t>
      </w:r>
      <w:r w:rsidR="0028771B">
        <w:rPr>
          <w:lang w:val="en-US"/>
        </w:rPr>
        <w:t>.</w:t>
      </w:r>
      <w:r w:rsidR="0028771B" w:rsidRPr="0028771B">
        <w:rPr>
          <w:lang w:val="en-US"/>
        </w:rPr>
        <w:t xml:space="preserve"> This is in accordance with the findings of Nicola Di Cosmo, who pointed out that “the later development of the Qing frontier organization was based on principles and practices that pre-dated 1644, even though they were not initially designed specifically as frontier policies</w:t>
      </w:r>
      <w:r w:rsidR="0028771B">
        <w:rPr>
          <w:lang w:val="en-US"/>
        </w:rPr>
        <w:t xml:space="preserve">” (2012: </w:t>
      </w:r>
      <w:r w:rsidR="0028771B" w:rsidRPr="0028771B">
        <w:rPr>
          <w:lang w:val="en-US"/>
        </w:rPr>
        <w:t>177</w:t>
      </w:r>
      <w:r w:rsidR="0028771B">
        <w:rPr>
          <w:lang w:val="en-US"/>
        </w:rPr>
        <w:t>)</w:t>
      </w:r>
      <w:r w:rsidR="0028771B" w:rsidRPr="0028771B">
        <w:rPr>
          <w:lang w:val="en-US"/>
        </w:rPr>
        <w:t>.</w:t>
      </w:r>
      <w:r w:rsidR="006412E0">
        <w:rPr>
          <w:lang w:val="en-US"/>
        </w:rPr>
        <w:t xml:space="preserve"> </w:t>
      </w:r>
    </w:p>
    <w:p w:rsidR="006D5216" w:rsidRDefault="0042642C" w:rsidP="005D408A">
      <w:pPr>
        <w:jc w:val="both"/>
        <w:rPr>
          <w:lang w:val="en-US"/>
        </w:rPr>
      </w:pPr>
      <w:r>
        <w:rPr>
          <w:lang w:val="en-US"/>
        </w:rPr>
        <w:t xml:space="preserve">Let me briefly outline what I mean by the concept of patronage. </w:t>
      </w:r>
      <w:r w:rsidR="003017E7">
        <w:rPr>
          <w:lang w:val="en-US"/>
        </w:rPr>
        <w:t xml:space="preserve">Patronage </w:t>
      </w:r>
      <w:r w:rsidR="00906F12">
        <w:rPr>
          <w:lang w:val="en-US"/>
        </w:rPr>
        <w:t xml:space="preserve">as a means for supporting territorial integration </w:t>
      </w:r>
      <w:r w:rsidR="003017E7">
        <w:rPr>
          <w:lang w:val="en-US"/>
        </w:rPr>
        <w:t>is not only known in the context of Asian history</w:t>
      </w:r>
      <w:r w:rsidR="007F418F">
        <w:rPr>
          <w:lang w:val="en-US"/>
        </w:rPr>
        <w:t>, but the o</w:t>
      </w:r>
      <w:r w:rsidR="00B4106A">
        <w:rPr>
          <w:lang w:val="en-US"/>
        </w:rPr>
        <w:t>bligatory reciprocity of this kind of</w:t>
      </w:r>
      <w:r w:rsidR="007F418F">
        <w:rPr>
          <w:lang w:val="en-US"/>
        </w:rPr>
        <w:t xml:space="preserve"> relationship was a constitutive element of political culture in early modern Europe too. </w:t>
      </w:r>
      <w:r w:rsidR="003017E7">
        <w:rPr>
          <w:lang w:val="en-US"/>
        </w:rPr>
        <w:t>According to Sharon Kettering</w:t>
      </w:r>
      <w:r w:rsidR="00FA6A95">
        <w:rPr>
          <w:lang w:val="en-US"/>
        </w:rPr>
        <w:t>, who conducted research on the role of patronage relationships in sixteenth- and seventeenth-century France</w:t>
      </w:r>
      <w:r w:rsidR="00C41825">
        <w:rPr>
          <w:lang w:val="en-US"/>
        </w:rPr>
        <w:t>,</w:t>
      </w:r>
      <w:r w:rsidR="00C71DBD">
        <w:rPr>
          <w:lang w:val="en-US"/>
        </w:rPr>
        <w:t xml:space="preserve"> </w:t>
      </w:r>
      <w:r w:rsidR="003017E7">
        <w:rPr>
          <w:lang w:val="en-US"/>
        </w:rPr>
        <w:t>patronage “meant, historically</w:t>
      </w:r>
      <w:r w:rsidR="00E12E05">
        <w:rPr>
          <w:lang w:val="en-US"/>
        </w:rPr>
        <w:t>,</w:t>
      </w:r>
      <w:r w:rsidR="003017E7">
        <w:rPr>
          <w:lang w:val="en-US"/>
        </w:rPr>
        <w:t xml:space="preserve"> a system of personal ties and networks that was pervasive politically and socially in early modern Europe. Used in that sense here, the English word ‘patronage’ </w:t>
      </w:r>
      <w:r w:rsidR="003017E7">
        <w:rPr>
          <w:lang w:val="en-US"/>
        </w:rPr>
        <w:lastRenderedPageBreak/>
        <w:t>denotes an individual relationship, mu</w:t>
      </w:r>
      <w:r w:rsidR="00E12E05">
        <w:rPr>
          <w:lang w:val="en-US"/>
        </w:rPr>
        <w:t>ltiple relation</w:t>
      </w:r>
      <w:r w:rsidR="003017E7">
        <w:rPr>
          <w:lang w:val="en-US"/>
        </w:rPr>
        <w:t>ships organized into networks, and an overall system b</w:t>
      </w:r>
      <w:r w:rsidR="00164E8B">
        <w:rPr>
          <w:lang w:val="en-US"/>
        </w:rPr>
        <w:t>ased on these ties and networks</w:t>
      </w:r>
      <w:r w:rsidR="003017E7">
        <w:rPr>
          <w:lang w:val="en-US"/>
        </w:rPr>
        <w:t>”</w:t>
      </w:r>
      <w:r w:rsidR="00164E8B" w:rsidRPr="00164E8B">
        <w:rPr>
          <w:lang w:val="en-US"/>
        </w:rPr>
        <w:t xml:space="preserve"> </w:t>
      </w:r>
      <w:r w:rsidR="00164E8B">
        <w:rPr>
          <w:lang w:val="en-US"/>
        </w:rPr>
        <w:t xml:space="preserve">(1992: </w:t>
      </w:r>
      <w:r w:rsidR="00164E8B" w:rsidRPr="00164E8B">
        <w:rPr>
          <w:lang w:val="en-US"/>
        </w:rPr>
        <w:t>839</w:t>
      </w:r>
      <w:r w:rsidR="00164E8B">
        <w:rPr>
          <w:lang w:val="en-US"/>
        </w:rPr>
        <w:t>).</w:t>
      </w:r>
      <w:r w:rsidR="007F418F">
        <w:rPr>
          <w:lang w:val="en-US"/>
        </w:rPr>
        <w:t xml:space="preserve"> </w:t>
      </w:r>
      <w:r w:rsidR="001C318A">
        <w:rPr>
          <w:lang w:val="en-US"/>
        </w:rPr>
        <w:t xml:space="preserve">Kettering’s research was the basis for a range of studies in this field, </w:t>
      </w:r>
      <w:proofErr w:type="spellStart"/>
      <w:r w:rsidR="00FA6A95">
        <w:rPr>
          <w:lang w:val="en-US"/>
        </w:rPr>
        <w:t>focuss</w:t>
      </w:r>
      <w:r w:rsidR="001C318A">
        <w:rPr>
          <w:lang w:val="en-US"/>
        </w:rPr>
        <w:t>ing</w:t>
      </w:r>
      <w:proofErr w:type="spellEnd"/>
      <w:r w:rsidR="00FA6A95">
        <w:rPr>
          <w:lang w:val="en-US"/>
        </w:rPr>
        <w:t xml:space="preserve"> on diverse topics such as</w:t>
      </w:r>
      <w:r w:rsidR="007F418F">
        <w:rPr>
          <w:lang w:val="en-US"/>
        </w:rPr>
        <w:t xml:space="preserve"> the implications of gift exchange</w:t>
      </w:r>
      <w:r w:rsidR="0095144E">
        <w:rPr>
          <w:lang w:val="en-US"/>
        </w:rPr>
        <w:t xml:space="preserve"> and</w:t>
      </w:r>
      <w:r w:rsidR="007F418F">
        <w:rPr>
          <w:lang w:val="en-US"/>
        </w:rPr>
        <w:t xml:space="preserve"> </w:t>
      </w:r>
      <w:r w:rsidR="000F5530">
        <w:rPr>
          <w:lang w:val="en-US"/>
        </w:rPr>
        <w:t>the specific language of patronage with its verbal formulas emphasizing loyalty, gratitude and respect</w:t>
      </w:r>
      <w:r w:rsidR="00164E8B" w:rsidRPr="00164E8B">
        <w:rPr>
          <w:lang w:val="en-US"/>
        </w:rPr>
        <w:t xml:space="preserve"> </w:t>
      </w:r>
      <w:r w:rsidR="008D10BD">
        <w:rPr>
          <w:lang w:val="en-US"/>
        </w:rPr>
        <w:t>(</w:t>
      </w:r>
      <w:r w:rsidR="00164E8B" w:rsidRPr="00164E8B">
        <w:rPr>
          <w:lang w:val="en-US"/>
        </w:rPr>
        <w:t>Emich et al.</w:t>
      </w:r>
      <w:r w:rsidR="008D10BD">
        <w:rPr>
          <w:lang w:val="en-US"/>
        </w:rPr>
        <w:t xml:space="preserve">: 2005). </w:t>
      </w:r>
      <w:r w:rsidR="0095144E">
        <w:rPr>
          <w:lang w:val="en-US"/>
        </w:rPr>
        <w:t>Expressions of courtesy were essential for maintaining patronage relationships and their absence usually indicated the termination of</w:t>
      </w:r>
      <w:r w:rsidR="008E60F3">
        <w:rPr>
          <w:lang w:val="en-US"/>
        </w:rPr>
        <w:t xml:space="preserve"> the relationship</w:t>
      </w:r>
      <w:r w:rsidR="001C318A" w:rsidRPr="001C318A">
        <w:rPr>
          <w:lang w:val="en-US"/>
        </w:rPr>
        <w:t xml:space="preserve"> </w:t>
      </w:r>
      <w:r w:rsidR="001C318A">
        <w:rPr>
          <w:lang w:val="en-US"/>
        </w:rPr>
        <w:t>(</w:t>
      </w:r>
      <w:r w:rsidR="001C318A" w:rsidRPr="001C318A">
        <w:rPr>
          <w:lang w:val="en-US"/>
        </w:rPr>
        <w:t>Kettering</w:t>
      </w:r>
      <w:r w:rsidR="001C318A">
        <w:rPr>
          <w:lang w:val="en-US"/>
        </w:rPr>
        <w:t xml:space="preserve"> 2002: </w:t>
      </w:r>
      <w:r w:rsidR="001C318A" w:rsidRPr="001C318A">
        <w:rPr>
          <w:lang w:val="en-US"/>
        </w:rPr>
        <w:t>vii</w:t>
      </w:r>
      <w:r w:rsidR="001C318A">
        <w:rPr>
          <w:lang w:val="en-US"/>
        </w:rPr>
        <w:t>)</w:t>
      </w:r>
      <w:r w:rsidR="0095144E">
        <w:rPr>
          <w:lang w:val="en-US"/>
        </w:rPr>
        <w:t>.</w:t>
      </w:r>
      <w:r w:rsidR="006D5216" w:rsidRPr="006D5216">
        <w:rPr>
          <w:lang w:val="en-US"/>
        </w:rPr>
        <w:t xml:space="preserve"> This was by no means a unilateral process as clients benefitted from this relationship and tr</w:t>
      </w:r>
      <w:r w:rsidR="006D5216">
        <w:rPr>
          <w:lang w:val="en-US"/>
        </w:rPr>
        <w:t>ied to manipulate their patrons</w:t>
      </w:r>
      <w:r w:rsidR="001C318A" w:rsidRPr="001C318A">
        <w:rPr>
          <w:lang w:val="en-US"/>
        </w:rPr>
        <w:t xml:space="preserve"> </w:t>
      </w:r>
      <w:r w:rsidR="001C318A">
        <w:rPr>
          <w:lang w:val="en-US"/>
        </w:rPr>
        <w:t>(</w:t>
      </w:r>
      <w:r w:rsidR="001C318A" w:rsidRPr="001C318A">
        <w:rPr>
          <w:lang w:val="en-US"/>
        </w:rPr>
        <w:t>Newbury</w:t>
      </w:r>
      <w:r w:rsidR="001C318A">
        <w:rPr>
          <w:lang w:val="en-US"/>
        </w:rPr>
        <w:t xml:space="preserve"> 2003: </w:t>
      </w:r>
      <w:r w:rsidR="001C318A" w:rsidRPr="001C318A">
        <w:rPr>
          <w:lang w:val="en-US"/>
        </w:rPr>
        <w:t>16</w:t>
      </w:r>
      <w:r w:rsidR="001C318A">
        <w:rPr>
          <w:lang w:val="en-US"/>
        </w:rPr>
        <w:t>)</w:t>
      </w:r>
      <w:r w:rsidR="006D5216">
        <w:rPr>
          <w:lang w:val="en-US"/>
        </w:rPr>
        <w:t>.</w:t>
      </w:r>
    </w:p>
    <w:p w:rsidR="00E13C82" w:rsidRDefault="00B451A1" w:rsidP="00305C61">
      <w:pPr>
        <w:autoSpaceDE w:val="0"/>
        <w:autoSpaceDN w:val="0"/>
        <w:adjustRightInd w:val="0"/>
        <w:jc w:val="both"/>
        <w:rPr>
          <w:lang w:val="en-US"/>
        </w:rPr>
      </w:pPr>
      <w:r w:rsidRPr="00BC5BB6">
        <w:rPr>
          <w:lang w:val="en-US"/>
        </w:rPr>
        <w:t>The patron</w:t>
      </w:r>
      <w:r w:rsidR="00BC5BB6" w:rsidRPr="00BC5BB6">
        <w:rPr>
          <w:lang w:val="en-US"/>
        </w:rPr>
        <w:t>age</w:t>
      </w:r>
      <w:r w:rsidRPr="00BC5BB6">
        <w:rPr>
          <w:lang w:val="en-US"/>
        </w:rPr>
        <w:t xml:space="preserve"> relationship</w:t>
      </w:r>
      <w:r w:rsidR="00D7759C" w:rsidRPr="00BC5BB6">
        <w:rPr>
          <w:lang w:val="en-US"/>
        </w:rPr>
        <w:t xml:space="preserve"> </w:t>
      </w:r>
      <w:r w:rsidR="00B25E9D">
        <w:rPr>
          <w:lang w:val="en-US"/>
        </w:rPr>
        <w:t xml:space="preserve">between the Manchu ruler and members of the Mongol nobility </w:t>
      </w:r>
      <w:r w:rsidR="00BC5BB6" w:rsidRPr="00BC5BB6">
        <w:rPr>
          <w:lang w:val="en-US"/>
        </w:rPr>
        <w:t>owes its origin to the historical circumstances of the early 17</w:t>
      </w:r>
      <w:r w:rsidR="00BC5BB6" w:rsidRPr="00BC5BB6">
        <w:rPr>
          <w:vertAlign w:val="superscript"/>
          <w:lang w:val="en-US"/>
        </w:rPr>
        <w:t>th</w:t>
      </w:r>
      <w:r w:rsidR="00BC5BB6" w:rsidRPr="00BC5BB6">
        <w:rPr>
          <w:lang w:val="en-US"/>
        </w:rPr>
        <w:t xml:space="preserve"> century.</w:t>
      </w:r>
      <w:r w:rsidR="00C3594D">
        <w:rPr>
          <w:rStyle w:val="Endnotenzeichen"/>
          <w:lang w:val="en-US"/>
        </w:rPr>
        <w:endnoteReference w:id="7"/>
      </w:r>
      <w:r w:rsidR="00474BB4" w:rsidRPr="000261D6">
        <w:rPr>
          <w:lang w:val="en-US"/>
        </w:rPr>
        <w:t xml:space="preserve"> </w:t>
      </w:r>
      <w:r w:rsidR="00351E78" w:rsidRPr="00BC5BB6">
        <w:rPr>
          <w:lang w:val="en-US"/>
        </w:rPr>
        <w:t>The shift in power</w:t>
      </w:r>
      <w:r w:rsidR="006E09BF">
        <w:rPr>
          <w:lang w:val="en-US"/>
        </w:rPr>
        <w:t>, which characteriz</w:t>
      </w:r>
      <w:r w:rsidR="00351E78" w:rsidRPr="00376022">
        <w:rPr>
          <w:lang w:val="en-US"/>
        </w:rPr>
        <w:t>es the relationsh</w:t>
      </w:r>
      <w:r w:rsidR="00FB1D75">
        <w:rPr>
          <w:lang w:val="en-US"/>
        </w:rPr>
        <w:t xml:space="preserve">ip between Manchus and </w:t>
      </w:r>
      <w:r w:rsidR="002C1D00">
        <w:rPr>
          <w:lang w:val="en-US"/>
        </w:rPr>
        <w:t>Mongol</w:t>
      </w:r>
      <w:r w:rsidR="00087096">
        <w:rPr>
          <w:lang w:val="en-US"/>
        </w:rPr>
        <w:t xml:space="preserve"> confederations from the 1630</w:t>
      </w:r>
      <w:r w:rsidR="00351E78" w:rsidRPr="00376022">
        <w:rPr>
          <w:lang w:val="en-US"/>
        </w:rPr>
        <w:t>s onwards</w:t>
      </w:r>
      <w:r w:rsidR="00C04D86">
        <w:rPr>
          <w:lang w:val="en-US"/>
        </w:rPr>
        <w:t xml:space="preserve"> appears to be puz</w:t>
      </w:r>
      <w:r w:rsidR="006507A0">
        <w:rPr>
          <w:lang w:val="en-US"/>
        </w:rPr>
        <w:t>zling:</w:t>
      </w:r>
      <w:r w:rsidR="00C04D86" w:rsidRPr="00C04D86">
        <w:rPr>
          <w:rStyle w:val="Funotenzeichen"/>
          <w:lang w:val="en-US" w:eastAsia="zh-CN"/>
        </w:rPr>
        <w:t xml:space="preserve"> </w:t>
      </w:r>
      <w:r w:rsidR="0066028E">
        <w:rPr>
          <w:lang w:val="en-US"/>
        </w:rPr>
        <w:t xml:space="preserve">What </w:t>
      </w:r>
      <w:r w:rsidR="00EE6345">
        <w:rPr>
          <w:lang w:val="en-US"/>
        </w:rPr>
        <w:t xml:space="preserve">prompted the </w:t>
      </w:r>
      <w:r w:rsidR="002C1D00">
        <w:rPr>
          <w:lang w:val="en-US"/>
        </w:rPr>
        <w:t>Mongol</w:t>
      </w:r>
      <w:r w:rsidR="00EE6345">
        <w:rPr>
          <w:lang w:val="en-US"/>
        </w:rPr>
        <w:t xml:space="preserve"> nobles, who in the late 1620s had concluded treaties with the Manchus on eye-level, to integrate into the evolving Manchu state? They surely had to recognize Manchu military superiority, but </w:t>
      </w:r>
      <w:r w:rsidR="00006F29">
        <w:rPr>
          <w:lang w:val="en-US"/>
        </w:rPr>
        <w:t>the Manchus were engaged in a war with Ming China and had to pool their forces to this effort</w:t>
      </w:r>
      <w:r w:rsidR="00ED7AE3">
        <w:rPr>
          <w:lang w:val="en-US"/>
        </w:rPr>
        <w:t xml:space="preserve"> (</w:t>
      </w:r>
      <w:r w:rsidR="00ED7AE3" w:rsidRPr="00ED7AE3">
        <w:rPr>
          <w:lang w:val="en-US"/>
        </w:rPr>
        <w:t>Di Cosmo</w:t>
      </w:r>
      <w:r w:rsidR="00ED7AE3">
        <w:rPr>
          <w:lang w:val="en-US"/>
        </w:rPr>
        <w:t xml:space="preserve"> 2012:</w:t>
      </w:r>
      <w:r w:rsidR="00ED7AE3" w:rsidRPr="00ED7AE3">
        <w:rPr>
          <w:lang w:val="en-US"/>
        </w:rPr>
        <w:t xml:space="preserve"> 181</w:t>
      </w:r>
      <w:r w:rsidR="00ED7AE3">
        <w:rPr>
          <w:lang w:val="en-US"/>
        </w:rPr>
        <w:t>)</w:t>
      </w:r>
      <w:r w:rsidR="00006F29">
        <w:rPr>
          <w:lang w:val="en-US"/>
        </w:rPr>
        <w:t>.</w:t>
      </w:r>
      <w:r w:rsidR="00083290">
        <w:rPr>
          <w:lang w:val="en-US"/>
        </w:rPr>
        <w:t xml:space="preserve"> </w:t>
      </w:r>
    </w:p>
    <w:p w:rsidR="00FB353D" w:rsidRDefault="00E13C82" w:rsidP="00305C61">
      <w:pPr>
        <w:autoSpaceDE w:val="0"/>
        <w:autoSpaceDN w:val="0"/>
        <w:adjustRightInd w:val="0"/>
        <w:jc w:val="both"/>
        <w:rPr>
          <w:lang w:val="en-US"/>
        </w:rPr>
      </w:pPr>
      <w:r>
        <w:rPr>
          <w:lang w:val="en-US"/>
        </w:rPr>
        <w:t xml:space="preserve">In order to understand the political rationalities behind </w:t>
      </w:r>
      <w:r w:rsidR="002C1D00">
        <w:rPr>
          <w:lang w:val="en-US"/>
        </w:rPr>
        <w:t>Mongol</w:t>
      </w:r>
      <w:r w:rsidR="008952B6">
        <w:rPr>
          <w:lang w:val="en-US"/>
        </w:rPr>
        <w:t xml:space="preserve"> politic</w:t>
      </w:r>
      <w:r>
        <w:rPr>
          <w:lang w:val="en-US"/>
        </w:rPr>
        <w:t xml:space="preserve">s at that time, it is important to keep in mind that “the Mongols” </w:t>
      </w:r>
      <w:r w:rsidR="008952B6">
        <w:rPr>
          <w:lang w:val="en-US"/>
        </w:rPr>
        <w:t>were not a homog</w:t>
      </w:r>
      <w:r w:rsidR="00CE0701">
        <w:rPr>
          <w:lang w:val="en-US"/>
        </w:rPr>
        <w:t>e</w:t>
      </w:r>
      <w:r w:rsidR="008952B6">
        <w:rPr>
          <w:lang w:val="en-US"/>
        </w:rPr>
        <w:t>neous group and did not follow a coherent policy.</w:t>
      </w:r>
      <w:r w:rsidR="00343BAC" w:rsidRPr="00343BAC">
        <w:rPr>
          <w:lang w:val="en-US"/>
        </w:rPr>
        <w:t xml:space="preserve"> Nicola Di Cosmo uses the term “tutelage” in order to denote the specific role of Mongols within the Qing empire, who were granted protection and guidance, and, in return, had to accept a loss of a certain degree of independence and autonomy (2012: 189-191). I prefer the term “patronage”, because it refers to a relationship, which is not concluded with a “political entity” or “country or people” (190), but between individuals. The Manchus held up political contacts with numerous members of the Mongol elite, and Mongols did not form a political entity.</w:t>
      </w:r>
      <w:r w:rsidR="00474BB4" w:rsidRPr="00474BB4">
        <w:rPr>
          <w:rStyle w:val="Funotenzeichen"/>
          <w:lang w:val="en-US"/>
        </w:rPr>
        <w:t xml:space="preserve"> </w:t>
      </w:r>
      <w:r w:rsidR="00D015C8">
        <w:rPr>
          <w:lang w:val="en-US"/>
        </w:rPr>
        <w:t>In the early 17</w:t>
      </w:r>
      <w:r w:rsidR="00D015C8" w:rsidRPr="00D015C8">
        <w:rPr>
          <w:vertAlign w:val="superscript"/>
          <w:lang w:val="en-US"/>
        </w:rPr>
        <w:t>th</w:t>
      </w:r>
      <w:r w:rsidR="00D015C8">
        <w:rPr>
          <w:lang w:val="en-US"/>
        </w:rPr>
        <w:t xml:space="preserve"> century, </w:t>
      </w:r>
      <w:r w:rsidR="002C1D00">
        <w:rPr>
          <w:lang w:val="en-US"/>
        </w:rPr>
        <w:t>Mongol</w:t>
      </w:r>
      <w:r>
        <w:rPr>
          <w:lang w:val="en-US"/>
        </w:rPr>
        <w:t xml:space="preserve"> </w:t>
      </w:r>
      <w:r w:rsidR="00F86C3F">
        <w:rPr>
          <w:lang w:val="en-US"/>
        </w:rPr>
        <w:t>confederation</w:t>
      </w:r>
      <w:r>
        <w:rPr>
          <w:lang w:val="en-US"/>
        </w:rPr>
        <w:t>s</w:t>
      </w:r>
      <w:r w:rsidR="008952B6">
        <w:rPr>
          <w:lang w:val="en-US"/>
        </w:rPr>
        <w:t xml:space="preserve"> had been wedged between </w:t>
      </w:r>
      <w:r w:rsidR="00032E61">
        <w:rPr>
          <w:lang w:val="en-US"/>
        </w:rPr>
        <w:t xml:space="preserve">two </w:t>
      </w:r>
      <w:r w:rsidR="002C2B05">
        <w:rPr>
          <w:lang w:val="en-US"/>
        </w:rPr>
        <w:t xml:space="preserve">Inner Asian </w:t>
      </w:r>
      <w:proofErr w:type="spellStart"/>
      <w:r w:rsidR="00032E61">
        <w:rPr>
          <w:lang w:val="en-US"/>
        </w:rPr>
        <w:t>centres</w:t>
      </w:r>
      <w:proofErr w:type="spellEnd"/>
      <w:r w:rsidR="00032E61">
        <w:rPr>
          <w:lang w:val="en-US"/>
        </w:rPr>
        <w:t xml:space="preserve"> of gravity, which </w:t>
      </w:r>
      <w:r w:rsidR="00032E61" w:rsidRPr="00C21DF0">
        <w:rPr>
          <w:lang w:val="en-US"/>
        </w:rPr>
        <w:t xml:space="preserve">were the </w:t>
      </w:r>
      <w:r w:rsidR="000A3944">
        <w:rPr>
          <w:lang w:val="en-US"/>
        </w:rPr>
        <w:t xml:space="preserve">Mongol </w:t>
      </w:r>
      <w:proofErr w:type="spellStart"/>
      <w:r w:rsidR="00032E61" w:rsidRPr="00C21DF0">
        <w:rPr>
          <w:lang w:val="en-US"/>
        </w:rPr>
        <w:t>Čaqar</w:t>
      </w:r>
      <w:proofErr w:type="spellEnd"/>
      <w:r w:rsidR="00032E61">
        <w:rPr>
          <w:lang w:val="en-US"/>
        </w:rPr>
        <w:t xml:space="preserve"> and </w:t>
      </w:r>
      <w:r w:rsidR="000A3944">
        <w:rPr>
          <w:lang w:val="en-US"/>
        </w:rPr>
        <w:t xml:space="preserve">the </w:t>
      </w:r>
      <w:r w:rsidR="00032E61">
        <w:rPr>
          <w:lang w:val="en-US"/>
        </w:rPr>
        <w:t>rising</w:t>
      </w:r>
      <w:r w:rsidR="00D015C8">
        <w:rPr>
          <w:lang w:val="en-US"/>
        </w:rPr>
        <w:t xml:space="preserve"> political power of the Manchus</w:t>
      </w:r>
      <w:r w:rsidR="00E70D4D">
        <w:rPr>
          <w:lang w:val="en-US"/>
        </w:rPr>
        <w:t>.</w:t>
      </w:r>
      <w:r w:rsidR="00691967">
        <w:rPr>
          <w:lang w:val="en-US"/>
        </w:rPr>
        <w:t xml:space="preserve"> </w:t>
      </w:r>
      <w:r w:rsidR="00C82890">
        <w:rPr>
          <w:lang w:val="en-US"/>
        </w:rPr>
        <w:t xml:space="preserve">After 1632, </w:t>
      </w:r>
      <w:r w:rsidR="007D6112">
        <w:rPr>
          <w:lang w:val="en-US"/>
        </w:rPr>
        <w:t xml:space="preserve">when the </w:t>
      </w:r>
      <w:proofErr w:type="spellStart"/>
      <w:r w:rsidR="007D6112">
        <w:rPr>
          <w:lang w:val="en-US"/>
        </w:rPr>
        <w:t>Čaqar</w:t>
      </w:r>
      <w:proofErr w:type="spellEnd"/>
      <w:r w:rsidR="007D6112">
        <w:rPr>
          <w:lang w:val="en-US"/>
        </w:rPr>
        <w:t xml:space="preserve"> khanate disintegrated, many </w:t>
      </w:r>
      <w:proofErr w:type="spellStart"/>
      <w:r w:rsidR="00F86C3F">
        <w:rPr>
          <w:lang w:val="en-US"/>
        </w:rPr>
        <w:t>Čaqar</w:t>
      </w:r>
      <w:proofErr w:type="spellEnd"/>
      <w:r w:rsidR="007D6112">
        <w:rPr>
          <w:lang w:val="en-US"/>
        </w:rPr>
        <w:t xml:space="preserve"> </w:t>
      </w:r>
      <w:r w:rsidR="003C5763" w:rsidRPr="006B0DE9">
        <w:rPr>
          <w:lang w:val="en-US"/>
        </w:rPr>
        <w:t>defect</w:t>
      </w:r>
      <w:r w:rsidR="00CE0701" w:rsidRPr="006B0DE9">
        <w:rPr>
          <w:lang w:val="en-US"/>
        </w:rPr>
        <w:t>ed</w:t>
      </w:r>
      <w:r w:rsidR="003C5763" w:rsidRPr="006B0DE9">
        <w:rPr>
          <w:lang w:val="en-US"/>
        </w:rPr>
        <w:t xml:space="preserve"> to the side of the Manchus</w:t>
      </w:r>
      <w:r w:rsidR="00343BAC" w:rsidRPr="00343BAC">
        <w:rPr>
          <w:lang w:val="en-US"/>
        </w:rPr>
        <w:t xml:space="preserve"> </w:t>
      </w:r>
      <w:r w:rsidR="00343BAC">
        <w:rPr>
          <w:lang w:val="en-US"/>
        </w:rPr>
        <w:t>(</w:t>
      </w:r>
      <w:proofErr w:type="spellStart"/>
      <w:r w:rsidR="00343BAC" w:rsidRPr="00343BAC">
        <w:rPr>
          <w:lang w:val="en-US"/>
        </w:rPr>
        <w:t>Weiers</w:t>
      </w:r>
      <w:proofErr w:type="spellEnd"/>
      <w:r w:rsidR="00343BAC">
        <w:rPr>
          <w:lang w:val="en-US"/>
        </w:rPr>
        <w:t xml:space="preserve"> 1975: </w:t>
      </w:r>
      <w:r w:rsidR="00343BAC" w:rsidRPr="00343BAC">
        <w:rPr>
          <w:lang w:val="en-US"/>
        </w:rPr>
        <w:t>448-450</w:t>
      </w:r>
      <w:r w:rsidR="00343BAC">
        <w:rPr>
          <w:lang w:val="en-US"/>
        </w:rPr>
        <w:t xml:space="preserve">, 1989/91: </w:t>
      </w:r>
      <w:r w:rsidR="00343BAC" w:rsidRPr="00343BAC">
        <w:rPr>
          <w:lang w:val="en-US"/>
        </w:rPr>
        <w:t>256</w:t>
      </w:r>
      <w:r w:rsidR="00343BAC">
        <w:rPr>
          <w:lang w:val="en-US"/>
        </w:rPr>
        <w:t>)</w:t>
      </w:r>
      <w:r w:rsidR="00343BAC" w:rsidRPr="00343BAC">
        <w:rPr>
          <w:lang w:val="en-US"/>
        </w:rPr>
        <w:t>.</w:t>
      </w:r>
      <w:r w:rsidR="00343BAC">
        <w:rPr>
          <w:rStyle w:val="Endnotenzeichen"/>
          <w:lang w:val="en-US"/>
        </w:rPr>
        <w:endnoteReference w:id="8"/>
      </w:r>
      <w:r w:rsidR="00495236" w:rsidRPr="006B0DE9">
        <w:rPr>
          <w:lang w:val="en-US"/>
        </w:rPr>
        <w:t xml:space="preserve"> </w:t>
      </w:r>
      <w:r w:rsidR="0032764C" w:rsidRPr="006B0DE9">
        <w:rPr>
          <w:lang w:val="en-US"/>
        </w:rPr>
        <w:t>These refugees often had to leave all</w:t>
      </w:r>
      <w:r w:rsidR="0032764C">
        <w:rPr>
          <w:lang w:val="en-US"/>
        </w:rPr>
        <w:t xml:space="preserve"> their herds and belongings behind</w:t>
      </w:r>
      <w:r w:rsidR="00641866">
        <w:rPr>
          <w:lang w:val="en-US"/>
        </w:rPr>
        <w:t xml:space="preserve"> and empty handedly entered </w:t>
      </w:r>
      <w:r w:rsidR="0032764C">
        <w:rPr>
          <w:lang w:val="en-US"/>
        </w:rPr>
        <w:t xml:space="preserve">pasture grounds claimed by </w:t>
      </w:r>
      <w:r w:rsidR="00156189">
        <w:rPr>
          <w:lang w:val="en-US"/>
        </w:rPr>
        <w:t>othe</w:t>
      </w:r>
      <w:r>
        <w:rPr>
          <w:lang w:val="en-US"/>
        </w:rPr>
        <w:t>r</w:t>
      </w:r>
      <w:r w:rsidR="00156189">
        <w:rPr>
          <w:lang w:val="en-US"/>
        </w:rPr>
        <w:t xml:space="preserve"> </w:t>
      </w:r>
      <w:r w:rsidR="002C1D00">
        <w:rPr>
          <w:lang w:val="en-US"/>
        </w:rPr>
        <w:t>Mongol</w:t>
      </w:r>
      <w:r w:rsidR="00156189">
        <w:rPr>
          <w:lang w:val="en-US"/>
        </w:rPr>
        <w:t xml:space="preserve"> confederations</w:t>
      </w:r>
      <w:r w:rsidR="0032764C">
        <w:rPr>
          <w:lang w:val="en-US"/>
        </w:rPr>
        <w:t xml:space="preserve">, who had allied themselves with the Manchus long before. </w:t>
      </w:r>
      <w:r w:rsidR="00156189">
        <w:rPr>
          <w:lang w:val="en-US"/>
        </w:rPr>
        <w:t>In</w:t>
      </w:r>
      <w:r w:rsidR="0032764C">
        <w:rPr>
          <w:lang w:val="en-US"/>
        </w:rPr>
        <w:t xml:space="preserve"> </w:t>
      </w:r>
      <w:r w:rsidR="00D015C8">
        <w:rPr>
          <w:lang w:val="en-US"/>
        </w:rPr>
        <w:t xml:space="preserve">the </w:t>
      </w:r>
      <w:r w:rsidR="0032764C">
        <w:rPr>
          <w:lang w:val="en-US"/>
        </w:rPr>
        <w:t>social and economic conflicts, deriving from these population movements</w:t>
      </w:r>
      <w:r w:rsidR="00156189">
        <w:rPr>
          <w:lang w:val="en-US"/>
        </w:rPr>
        <w:t>, the Manchu leader was appealed to as a superordinate authority</w:t>
      </w:r>
      <w:r w:rsidR="00A42E68">
        <w:rPr>
          <w:lang w:val="en-US"/>
        </w:rPr>
        <w:t xml:space="preserve">. He was regarded as a power providing protection for </w:t>
      </w:r>
      <w:r w:rsidR="00FB353D">
        <w:rPr>
          <w:lang w:val="en-US"/>
        </w:rPr>
        <w:t>displaced populations, and the sources provide plenty of evidence that</w:t>
      </w:r>
      <w:r w:rsidR="00D02044">
        <w:rPr>
          <w:lang w:val="en-US"/>
        </w:rPr>
        <w:t xml:space="preserve"> the integration of</w:t>
      </w:r>
      <w:r w:rsidR="00FB353D">
        <w:rPr>
          <w:lang w:val="en-US"/>
        </w:rPr>
        <w:t xml:space="preserve"> refugees</w:t>
      </w:r>
      <w:r w:rsidR="00D02044">
        <w:rPr>
          <w:lang w:val="en-US"/>
        </w:rPr>
        <w:t xml:space="preserve"> was a</w:t>
      </w:r>
      <w:r w:rsidR="00EB396A">
        <w:rPr>
          <w:lang w:val="en-US"/>
        </w:rPr>
        <w:t>n urgent issue of concern</w:t>
      </w:r>
      <w:r w:rsidR="00D02044">
        <w:rPr>
          <w:lang w:val="en-US"/>
        </w:rPr>
        <w:t xml:space="preserve"> for the </w:t>
      </w:r>
      <w:r w:rsidR="00087096">
        <w:rPr>
          <w:lang w:val="en-US"/>
        </w:rPr>
        <w:t>Manchu state in the early 1630</w:t>
      </w:r>
      <w:r w:rsidR="00D02044">
        <w:rPr>
          <w:lang w:val="en-US"/>
        </w:rPr>
        <w:t>s</w:t>
      </w:r>
      <w:r w:rsidR="00343BAC">
        <w:rPr>
          <w:lang w:val="en-US"/>
        </w:rPr>
        <w:t xml:space="preserve"> (</w:t>
      </w:r>
      <w:proofErr w:type="spellStart"/>
      <w:r w:rsidR="00343BAC" w:rsidRPr="00343BAC">
        <w:rPr>
          <w:lang w:val="en-US"/>
        </w:rPr>
        <w:t>Weiers</w:t>
      </w:r>
      <w:proofErr w:type="spellEnd"/>
      <w:r w:rsidR="00343BAC">
        <w:rPr>
          <w:lang w:val="en-US"/>
        </w:rPr>
        <w:t xml:space="preserve"> 1998).</w:t>
      </w:r>
      <w:r w:rsidR="00156189">
        <w:rPr>
          <w:lang w:val="en-US"/>
        </w:rPr>
        <w:t xml:space="preserve"> </w:t>
      </w:r>
      <w:r w:rsidR="001A2411">
        <w:rPr>
          <w:lang w:val="en-US"/>
        </w:rPr>
        <w:t>Even though H</w:t>
      </w:r>
      <w:r w:rsidR="00156189">
        <w:rPr>
          <w:lang w:val="en-US"/>
        </w:rPr>
        <w:t xml:space="preserve">ong </w:t>
      </w:r>
      <w:proofErr w:type="spellStart"/>
      <w:r w:rsidR="00156189">
        <w:rPr>
          <w:lang w:val="en-US"/>
        </w:rPr>
        <w:t>Taiji</w:t>
      </w:r>
      <w:proofErr w:type="spellEnd"/>
      <w:r w:rsidR="00156189">
        <w:rPr>
          <w:lang w:val="en-US"/>
        </w:rPr>
        <w:t xml:space="preserve"> at that point in time was cautious not to </w:t>
      </w:r>
      <w:r w:rsidR="001D195D">
        <w:rPr>
          <w:lang w:val="en-US"/>
        </w:rPr>
        <w:t>interfere</w:t>
      </w:r>
      <w:r w:rsidR="00156189">
        <w:rPr>
          <w:lang w:val="en-US"/>
        </w:rPr>
        <w:t xml:space="preserve"> to</w:t>
      </w:r>
      <w:r w:rsidR="001A2411">
        <w:rPr>
          <w:lang w:val="en-US"/>
        </w:rPr>
        <w:t>o much with intra-</w:t>
      </w:r>
      <w:r w:rsidR="002C1D00">
        <w:rPr>
          <w:lang w:val="en-US"/>
        </w:rPr>
        <w:t>Mongol</w:t>
      </w:r>
      <w:r w:rsidR="001A2411">
        <w:rPr>
          <w:lang w:val="en-US"/>
        </w:rPr>
        <w:t xml:space="preserve"> affairs</w:t>
      </w:r>
      <w:r w:rsidR="007D6112">
        <w:rPr>
          <w:lang w:val="en-US"/>
        </w:rPr>
        <w:t>,</w:t>
      </w:r>
      <w:r w:rsidR="001A2411">
        <w:rPr>
          <w:lang w:val="en-US"/>
        </w:rPr>
        <w:t xml:space="preserve"> his willingness </w:t>
      </w:r>
      <w:r w:rsidR="007B3006">
        <w:rPr>
          <w:lang w:val="en-US"/>
        </w:rPr>
        <w:t xml:space="preserve">and ability </w:t>
      </w:r>
      <w:r w:rsidR="001A2411">
        <w:rPr>
          <w:lang w:val="en-US"/>
        </w:rPr>
        <w:t>to respond satisfactorily to the concerns of individuals or groups requiring his help consolidated his position among the Mongols</w:t>
      </w:r>
      <w:r w:rsidR="00312398">
        <w:rPr>
          <w:lang w:val="en-US"/>
        </w:rPr>
        <w:t xml:space="preserve"> settling south of the Gobi</w:t>
      </w:r>
      <w:r w:rsidR="00343BAC" w:rsidRPr="00343BAC">
        <w:rPr>
          <w:lang w:val="en-US"/>
        </w:rPr>
        <w:t xml:space="preserve"> </w:t>
      </w:r>
      <w:r w:rsidR="00343BAC">
        <w:rPr>
          <w:lang w:val="en-US"/>
        </w:rPr>
        <w:t>(</w:t>
      </w:r>
      <w:r w:rsidR="00343BAC" w:rsidRPr="00343BAC">
        <w:rPr>
          <w:lang w:val="en-US"/>
        </w:rPr>
        <w:t>Di Cosmo</w:t>
      </w:r>
      <w:r w:rsidR="00343BAC">
        <w:rPr>
          <w:lang w:val="en-US"/>
        </w:rPr>
        <w:t xml:space="preserve"> 2006:</w:t>
      </w:r>
      <w:r w:rsidR="00343BAC" w:rsidRPr="00343BAC">
        <w:rPr>
          <w:lang w:val="en-US"/>
        </w:rPr>
        <w:t xml:space="preserve"> 255</w:t>
      </w:r>
      <w:r w:rsidR="00343BAC">
        <w:rPr>
          <w:lang w:val="en-US"/>
        </w:rPr>
        <w:t>;</w:t>
      </w:r>
      <w:r w:rsidR="00343BAC" w:rsidRPr="00343BAC">
        <w:rPr>
          <w:lang w:val="en-US"/>
        </w:rPr>
        <w:t xml:space="preserve"> </w:t>
      </w:r>
      <w:proofErr w:type="spellStart"/>
      <w:r w:rsidR="00343BAC" w:rsidRPr="00343BAC">
        <w:rPr>
          <w:lang w:val="en-US"/>
        </w:rPr>
        <w:t>Heuschert-Laage</w:t>
      </w:r>
      <w:proofErr w:type="spellEnd"/>
      <w:r w:rsidR="00343BAC">
        <w:rPr>
          <w:lang w:val="en-US"/>
        </w:rPr>
        <w:t xml:space="preserve"> 2012:</w:t>
      </w:r>
      <w:r w:rsidR="00343BAC" w:rsidRPr="00343BAC">
        <w:rPr>
          <w:lang w:val="en-US"/>
        </w:rPr>
        <w:t xml:space="preserve"> 5-6</w:t>
      </w:r>
      <w:r w:rsidR="00343BAC">
        <w:rPr>
          <w:lang w:val="en-US"/>
        </w:rPr>
        <w:t>).</w:t>
      </w:r>
      <w:r w:rsidR="00156189">
        <w:rPr>
          <w:lang w:val="en-US"/>
        </w:rPr>
        <w:t xml:space="preserve"> </w:t>
      </w:r>
    </w:p>
    <w:p w:rsidR="00BC5BB6" w:rsidRDefault="00BC5BB6" w:rsidP="00305C61">
      <w:pPr>
        <w:autoSpaceDE w:val="0"/>
        <w:autoSpaceDN w:val="0"/>
        <w:adjustRightInd w:val="0"/>
        <w:jc w:val="both"/>
        <w:rPr>
          <w:lang w:val="en-US"/>
        </w:rPr>
      </w:pPr>
    </w:p>
    <w:p w:rsidR="00E85B99" w:rsidRDefault="00087096" w:rsidP="00305C61">
      <w:pPr>
        <w:autoSpaceDE w:val="0"/>
        <w:autoSpaceDN w:val="0"/>
        <w:adjustRightInd w:val="0"/>
        <w:jc w:val="both"/>
        <w:rPr>
          <w:lang w:val="en-US"/>
        </w:rPr>
      </w:pPr>
      <w:r>
        <w:rPr>
          <w:lang w:val="en-US"/>
        </w:rPr>
        <w:t>From the early 1630</w:t>
      </w:r>
      <w:r w:rsidR="007315B0">
        <w:rPr>
          <w:lang w:val="en-US"/>
        </w:rPr>
        <w:t>s onwards Manchu corresponden</w:t>
      </w:r>
      <w:r w:rsidR="00FB1D75">
        <w:rPr>
          <w:lang w:val="en-US"/>
        </w:rPr>
        <w:t xml:space="preserve">ce with </w:t>
      </w:r>
      <w:r w:rsidR="002C1D00">
        <w:rPr>
          <w:lang w:val="en-US"/>
        </w:rPr>
        <w:t>Mongol</w:t>
      </w:r>
      <w:r w:rsidR="007315B0">
        <w:rPr>
          <w:lang w:val="en-US"/>
        </w:rPr>
        <w:t xml:space="preserve"> leaders </w:t>
      </w:r>
      <w:r w:rsidR="001D195D">
        <w:rPr>
          <w:lang w:val="en-US"/>
        </w:rPr>
        <w:t>remarkably</w:t>
      </w:r>
      <w:r w:rsidR="007315B0">
        <w:rPr>
          <w:lang w:val="en-US"/>
        </w:rPr>
        <w:t xml:space="preserve"> often refers to the ability of the Manchu ruler to </w:t>
      </w:r>
      <w:r w:rsidR="00D015C8">
        <w:rPr>
          <w:lang w:val="en-US"/>
        </w:rPr>
        <w:t xml:space="preserve">grant </w:t>
      </w:r>
      <w:r w:rsidR="007315B0">
        <w:rPr>
          <w:lang w:val="en-US"/>
        </w:rPr>
        <w:t>protect</w:t>
      </w:r>
      <w:r w:rsidR="00D015C8">
        <w:rPr>
          <w:lang w:val="en-US"/>
        </w:rPr>
        <w:t>ion</w:t>
      </w:r>
      <w:r w:rsidR="007315B0">
        <w:rPr>
          <w:lang w:val="en-US"/>
        </w:rPr>
        <w:t xml:space="preserve">. </w:t>
      </w:r>
      <w:r w:rsidR="002568E7">
        <w:rPr>
          <w:lang w:val="en-US"/>
        </w:rPr>
        <w:t xml:space="preserve">Nicola Di Cosmo has drawn our attention to the fact that it was at that time the Manchu ruler adopted a “terminology that refers to caring, protecting, nurturing and cherishing” and pointed out that the </w:t>
      </w:r>
      <w:r w:rsidR="002E7BD5">
        <w:rPr>
          <w:lang w:val="en-US"/>
        </w:rPr>
        <w:t>Mongol</w:t>
      </w:r>
      <w:r w:rsidR="00234D34">
        <w:rPr>
          <w:lang w:val="en-US"/>
        </w:rPr>
        <w:t xml:space="preserve"> </w:t>
      </w:r>
      <w:r w:rsidR="002568E7">
        <w:rPr>
          <w:lang w:val="en-US"/>
        </w:rPr>
        <w:t xml:space="preserve">term </w:t>
      </w:r>
      <w:proofErr w:type="spellStart"/>
      <w:r w:rsidR="002568E7" w:rsidRPr="002568E7">
        <w:rPr>
          <w:i/>
          <w:lang w:val="en-US"/>
        </w:rPr>
        <w:t>ömögle</w:t>
      </w:r>
      <w:proofErr w:type="spellEnd"/>
      <w:r w:rsidR="002568E7" w:rsidRPr="002568E7">
        <w:rPr>
          <w:i/>
          <w:lang w:val="en-US"/>
        </w:rPr>
        <w:t>-</w:t>
      </w:r>
      <w:r w:rsidR="002568E7">
        <w:rPr>
          <w:lang w:val="en-US"/>
        </w:rPr>
        <w:t xml:space="preserve"> (to protect) </w:t>
      </w:r>
      <w:r w:rsidR="00A55A29">
        <w:rPr>
          <w:lang w:val="en-US"/>
        </w:rPr>
        <w:t>w</w:t>
      </w:r>
      <w:r w:rsidR="002568E7">
        <w:rPr>
          <w:lang w:val="en-US"/>
        </w:rPr>
        <w:t xml:space="preserve">as frequently </w:t>
      </w:r>
      <w:r w:rsidR="001D195D">
        <w:rPr>
          <w:lang w:val="en-US"/>
        </w:rPr>
        <w:t>used</w:t>
      </w:r>
      <w:r w:rsidR="002568E7">
        <w:rPr>
          <w:lang w:val="en-US"/>
        </w:rPr>
        <w:t xml:space="preserve"> in </w:t>
      </w:r>
      <w:r w:rsidR="00731611">
        <w:rPr>
          <w:lang w:val="en-US"/>
        </w:rPr>
        <w:t>Manchu-</w:t>
      </w:r>
      <w:r w:rsidR="002C1D00">
        <w:rPr>
          <w:lang w:val="en-US"/>
        </w:rPr>
        <w:t>Mongol</w:t>
      </w:r>
      <w:r w:rsidR="00731611">
        <w:rPr>
          <w:lang w:val="en-US"/>
        </w:rPr>
        <w:t xml:space="preserve"> correspondence</w:t>
      </w:r>
      <w:r w:rsidR="00343BAC">
        <w:rPr>
          <w:lang w:val="en-US"/>
        </w:rPr>
        <w:t xml:space="preserve"> (2012: 191)</w:t>
      </w:r>
      <w:r w:rsidR="002568E7">
        <w:rPr>
          <w:lang w:val="en-US"/>
        </w:rPr>
        <w:t>.</w:t>
      </w:r>
      <w:r w:rsidR="00B77DC4">
        <w:rPr>
          <w:rStyle w:val="Endnotenzeichen"/>
          <w:lang w:val="en-US"/>
        </w:rPr>
        <w:endnoteReference w:id="9"/>
      </w:r>
      <w:r w:rsidR="00731611">
        <w:rPr>
          <w:lang w:val="en-US"/>
        </w:rPr>
        <w:t xml:space="preserve"> In addition, </w:t>
      </w:r>
      <w:r w:rsidR="002E7BD5">
        <w:rPr>
          <w:lang w:val="en-US"/>
        </w:rPr>
        <w:t>Mongol</w:t>
      </w:r>
      <w:r w:rsidR="00484D70">
        <w:rPr>
          <w:lang w:val="en-US"/>
        </w:rPr>
        <w:t xml:space="preserve"> </w:t>
      </w:r>
      <w:r w:rsidR="00731611">
        <w:rPr>
          <w:lang w:val="en-US"/>
        </w:rPr>
        <w:t xml:space="preserve">words like </w:t>
      </w:r>
      <w:proofErr w:type="spellStart"/>
      <w:r w:rsidR="00731611" w:rsidRPr="00731611">
        <w:rPr>
          <w:i/>
          <w:lang w:val="en-US"/>
        </w:rPr>
        <w:t>örösiye</w:t>
      </w:r>
      <w:proofErr w:type="spellEnd"/>
      <w:r w:rsidR="00731611" w:rsidRPr="00731611">
        <w:rPr>
          <w:i/>
          <w:lang w:val="en-US"/>
        </w:rPr>
        <w:t>-</w:t>
      </w:r>
      <w:r w:rsidR="00731611">
        <w:rPr>
          <w:lang w:val="en-US"/>
        </w:rPr>
        <w:t xml:space="preserve"> (to be gracious to, to show mercy) and </w:t>
      </w:r>
      <w:proofErr w:type="spellStart"/>
      <w:r w:rsidR="00731611" w:rsidRPr="00731611">
        <w:rPr>
          <w:i/>
          <w:lang w:val="en-US"/>
        </w:rPr>
        <w:t>qa</w:t>
      </w:r>
      <w:r w:rsidR="00BC5BB6">
        <w:rPr>
          <w:i/>
          <w:lang w:val="en-US"/>
        </w:rPr>
        <w:t>y</w:t>
      </w:r>
      <w:r w:rsidR="00731611" w:rsidRPr="00731611">
        <w:rPr>
          <w:i/>
          <w:lang w:val="en-US"/>
        </w:rPr>
        <w:t>irala</w:t>
      </w:r>
      <w:proofErr w:type="spellEnd"/>
      <w:r w:rsidR="00731611" w:rsidRPr="00731611">
        <w:rPr>
          <w:i/>
          <w:lang w:val="en-US"/>
        </w:rPr>
        <w:t>-</w:t>
      </w:r>
      <w:r w:rsidR="00731611">
        <w:rPr>
          <w:lang w:val="en-US"/>
        </w:rPr>
        <w:t xml:space="preserve"> (to love</w:t>
      </w:r>
      <w:r w:rsidR="00A55A29">
        <w:rPr>
          <w:lang w:val="en-US"/>
        </w:rPr>
        <w:t>, to take care of</w:t>
      </w:r>
      <w:r w:rsidR="00731611">
        <w:rPr>
          <w:lang w:val="en-US"/>
        </w:rPr>
        <w:t xml:space="preserve">) became increasingly common when referring to the nature of the relationship of the Manchu ruler to individual </w:t>
      </w:r>
      <w:r w:rsidR="002C1D00">
        <w:rPr>
          <w:lang w:val="en-US"/>
        </w:rPr>
        <w:t>Mongol</w:t>
      </w:r>
      <w:r w:rsidR="00731611">
        <w:rPr>
          <w:lang w:val="en-US"/>
        </w:rPr>
        <w:t xml:space="preserve"> nobleman</w:t>
      </w:r>
      <w:r w:rsidR="00B77DC4" w:rsidRPr="00B77DC4">
        <w:rPr>
          <w:i/>
          <w:lang w:val="en-US"/>
        </w:rPr>
        <w:t xml:space="preserve"> </w:t>
      </w:r>
      <w:r w:rsidR="00B77DC4">
        <w:rPr>
          <w:iCs/>
          <w:lang w:val="en-US"/>
        </w:rPr>
        <w:t>(</w:t>
      </w:r>
      <w:proofErr w:type="spellStart"/>
      <w:r w:rsidR="00B77DC4" w:rsidRPr="00B77DC4">
        <w:rPr>
          <w:i/>
          <w:lang w:val="en-US"/>
        </w:rPr>
        <w:t>A</w:t>
      </w:r>
      <w:r w:rsidR="00B77DC4" w:rsidRPr="00B77DC4">
        <w:rPr>
          <w:i/>
          <w:iCs/>
          <w:lang w:val="en-US"/>
        </w:rPr>
        <w:t>rban</w:t>
      </w:r>
      <w:proofErr w:type="spellEnd"/>
      <w:r w:rsidR="00B77DC4" w:rsidRPr="00B77DC4">
        <w:rPr>
          <w:i/>
          <w:iCs/>
          <w:lang w:val="en-US"/>
        </w:rPr>
        <w:t xml:space="preserve"> </w:t>
      </w:r>
      <w:proofErr w:type="spellStart"/>
      <w:r w:rsidR="00B77DC4" w:rsidRPr="00B77DC4">
        <w:rPr>
          <w:i/>
          <w:iCs/>
          <w:lang w:val="en-US"/>
        </w:rPr>
        <w:t>dolodu</w:t>
      </w:r>
      <w:proofErr w:type="spellEnd"/>
      <w:r w:rsidR="00B77DC4" w:rsidRPr="00B77DC4">
        <w:rPr>
          <w:i/>
          <w:iCs/>
        </w:rPr>
        <w:t>γ</w:t>
      </w:r>
      <w:proofErr w:type="spellStart"/>
      <w:r w:rsidR="00B77DC4" w:rsidRPr="00B77DC4">
        <w:rPr>
          <w:i/>
          <w:iCs/>
          <w:lang w:val="en-US"/>
        </w:rPr>
        <w:t>ar</w:t>
      </w:r>
      <w:proofErr w:type="spellEnd"/>
      <w:r w:rsidR="00B77DC4" w:rsidRPr="00B77DC4">
        <w:rPr>
          <w:i/>
          <w:iCs/>
          <w:lang w:val="en-US"/>
        </w:rPr>
        <w:t xml:space="preserve"> </w:t>
      </w:r>
      <w:r w:rsidR="00B77DC4" w:rsidRPr="00B77DC4">
        <w:rPr>
          <w:i/>
          <w:lang w:val="en-US"/>
        </w:rPr>
        <w:t>j</w:t>
      </w:r>
      <w:r w:rsidR="00B77DC4" w:rsidRPr="00B77DC4">
        <w:rPr>
          <w:i/>
          <w:iCs/>
          <w:lang w:val="en-US"/>
        </w:rPr>
        <w:t>a</w:t>
      </w:r>
      <w:r w:rsidR="00B77DC4" w:rsidRPr="00B77DC4">
        <w:rPr>
          <w:i/>
          <w:iCs/>
        </w:rPr>
        <w:t>γ</w:t>
      </w:r>
      <w:r w:rsidR="00B77DC4" w:rsidRPr="00B77DC4">
        <w:rPr>
          <w:i/>
          <w:iCs/>
          <w:lang w:val="en-US"/>
        </w:rPr>
        <w:t>un-u</w:t>
      </w:r>
      <w:r w:rsidR="00B77DC4">
        <w:rPr>
          <w:i/>
          <w:iCs/>
          <w:lang w:val="en-US"/>
        </w:rPr>
        <w:t xml:space="preserve"> </w:t>
      </w:r>
      <w:r w:rsidR="00B77DC4" w:rsidRPr="007F2FD6">
        <w:rPr>
          <w:lang w:val="en-US"/>
        </w:rPr>
        <w:t xml:space="preserve">1997: </w:t>
      </w:r>
      <w:r w:rsidR="007F2FD6">
        <w:rPr>
          <w:lang w:val="en-US"/>
        </w:rPr>
        <w:t>vol. 1</w:t>
      </w:r>
      <w:r w:rsidR="00B77DC4" w:rsidRPr="007F2FD6">
        <w:rPr>
          <w:lang w:val="en-US"/>
        </w:rPr>
        <w:t>, 29</w:t>
      </w:r>
      <w:r w:rsidR="00B77DC4" w:rsidRPr="00B77DC4">
        <w:rPr>
          <w:iCs/>
          <w:lang w:val="en-US"/>
        </w:rPr>
        <w:t xml:space="preserve"> (9)</w:t>
      </w:r>
      <w:r w:rsidR="007F2FD6">
        <w:rPr>
          <w:iCs/>
          <w:lang w:val="en-US"/>
        </w:rPr>
        <w:t>,</w:t>
      </w:r>
      <w:r w:rsidR="00B77DC4" w:rsidRPr="00B77DC4">
        <w:rPr>
          <w:iCs/>
          <w:lang w:val="en-US"/>
        </w:rPr>
        <w:t xml:space="preserve"> </w:t>
      </w:r>
      <w:r w:rsidR="007F2FD6">
        <w:rPr>
          <w:iCs/>
          <w:lang w:val="en-US"/>
        </w:rPr>
        <w:t>vol. 2, 9 (14+27),</w:t>
      </w:r>
      <w:r w:rsidR="00B77DC4" w:rsidRPr="00B77DC4">
        <w:rPr>
          <w:iCs/>
          <w:lang w:val="en-US"/>
        </w:rPr>
        <w:t xml:space="preserve"> </w:t>
      </w:r>
      <w:r w:rsidR="007F2FD6">
        <w:rPr>
          <w:iCs/>
          <w:lang w:val="en-US"/>
        </w:rPr>
        <w:t>vol. 2</w:t>
      </w:r>
      <w:r w:rsidR="00B77DC4" w:rsidRPr="00B77DC4">
        <w:rPr>
          <w:iCs/>
          <w:lang w:val="en-US"/>
        </w:rPr>
        <w:t>, 10 (9+19)</w:t>
      </w:r>
      <w:r w:rsidR="007F2FD6">
        <w:rPr>
          <w:iCs/>
          <w:lang w:val="en-US"/>
        </w:rPr>
        <w:t xml:space="preserve">; </w:t>
      </w:r>
      <w:proofErr w:type="spellStart"/>
      <w:r w:rsidR="00B77DC4" w:rsidRPr="00B77DC4">
        <w:rPr>
          <w:iCs/>
          <w:lang w:val="en-US"/>
        </w:rPr>
        <w:t>Weiers</w:t>
      </w:r>
      <w:proofErr w:type="spellEnd"/>
      <w:r w:rsidR="007F2FD6">
        <w:rPr>
          <w:iCs/>
          <w:lang w:val="en-US"/>
        </w:rPr>
        <w:t xml:space="preserve"> 1983:</w:t>
      </w:r>
      <w:r w:rsidR="00B77DC4" w:rsidRPr="00B77DC4">
        <w:rPr>
          <w:iCs/>
          <w:lang w:val="en-US"/>
        </w:rPr>
        <w:t xml:space="preserve"> 420/421</w:t>
      </w:r>
      <w:r w:rsidR="007F2FD6">
        <w:rPr>
          <w:iCs/>
          <w:lang w:val="en-US"/>
        </w:rPr>
        <w:t>)</w:t>
      </w:r>
      <w:r w:rsidR="00731611">
        <w:rPr>
          <w:lang w:val="en-US"/>
        </w:rPr>
        <w:t>.</w:t>
      </w:r>
      <w:r w:rsidR="00A55A29">
        <w:rPr>
          <w:lang w:val="en-US"/>
        </w:rPr>
        <w:t xml:space="preserve"> </w:t>
      </w:r>
      <w:r w:rsidR="000315AB">
        <w:rPr>
          <w:lang w:val="en-US"/>
        </w:rPr>
        <w:t xml:space="preserve">This choice of words suggests that Hong </w:t>
      </w:r>
      <w:proofErr w:type="spellStart"/>
      <w:r w:rsidR="000315AB">
        <w:rPr>
          <w:lang w:val="en-US"/>
        </w:rPr>
        <w:t>Taiji</w:t>
      </w:r>
      <w:proofErr w:type="spellEnd"/>
      <w:r w:rsidR="000315AB">
        <w:rPr>
          <w:lang w:val="en-US"/>
        </w:rPr>
        <w:t xml:space="preserve"> made use of the language of patronage, which according to </w:t>
      </w:r>
      <w:r w:rsidR="000315AB">
        <w:rPr>
          <w:lang w:val="en-US"/>
        </w:rPr>
        <w:lastRenderedPageBreak/>
        <w:t>Sharon Kettering is characterized by “verbal formulas emphasizing loyalty, affection, gratitude, respect, honor, and trust”</w:t>
      </w:r>
      <w:r w:rsidR="004922E9" w:rsidRPr="004922E9">
        <w:rPr>
          <w:lang w:val="en-US"/>
        </w:rPr>
        <w:t xml:space="preserve"> </w:t>
      </w:r>
      <w:r w:rsidR="004922E9">
        <w:rPr>
          <w:lang w:val="en-US"/>
        </w:rPr>
        <w:t>(</w:t>
      </w:r>
      <w:r w:rsidR="004922E9" w:rsidRPr="004922E9">
        <w:rPr>
          <w:lang w:val="en-US"/>
        </w:rPr>
        <w:t>Kettering</w:t>
      </w:r>
      <w:r w:rsidR="004922E9">
        <w:rPr>
          <w:lang w:val="en-US"/>
        </w:rPr>
        <w:t xml:space="preserve"> 2002:</w:t>
      </w:r>
      <w:r w:rsidR="004922E9" w:rsidRPr="004922E9">
        <w:rPr>
          <w:lang w:val="en-US"/>
        </w:rPr>
        <w:t xml:space="preserve"> vii</w:t>
      </w:r>
      <w:r w:rsidR="004922E9">
        <w:rPr>
          <w:lang w:val="en-US"/>
        </w:rPr>
        <w:t>)</w:t>
      </w:r>
      <w:r w:rsidR="000315AB">
        <w:rPr>
          <w:lang w:val="en-US"/>
        </w:rPr>
        <w:t>.</w:t>
      </w:r>
    </w:p>
    <w:p w:rsidR="005215AA" w:rsidRDefault="00D93035" w:rsidP="00305C61">
      <w:pPr>
        <w:autoSpaceDE w:val="0"/>
        <w:autoSpaceDN w:val="0"/>
        <w:adjustRightInd w:val="0"/>
        <w:jc w:val="both"/>
        <w:rPr>
          <w:lang w:val="en-US"/>
        </w:rPr>
      </w:pPr>
      <w:r>
        <w:rPr>
          <w:lang w:val="en-US"/>
        </w:rPr>
        <w:t xml:space="preserve">The political rhetoric was </w:t>
      </w:r>
      <w:r w:rsidR="000742F5">
        <w:rPr>
          <w:lang w:val="en-US"/>
        </w:rPr>
        <w:t xml:space="preserve">further developed and became a means </w:t>
      </w:r>
      <w:r>
        <w:rPr>
          <w:lang w:val="en-US"/>
        </w:rPr>
        <w:t xml:space="preserve">to stress the hierarchical structuring of the evolving Manchu state. </w:t>
      </w:r>
      <w:r w:rsidR="00CE62EE">
        <w:rPr>
          <w:lang w:val="en-US"/>
        </w:rPr>
        <w:t>In 1636, the requirements for Manchu-</w:t>
      </w:r>
      <w:r w:rsidR="002C1D00">
        <w:rPr>
          <w:lang w:val="en-US"/>
        </w:rPr>
        <w:t>Mongol</w:t>
      </w:r>
      <w:r w:rsidR="00CE62EE">
        <w:rPr>
          <w:lang w:val="en-US"/>
        </w:rPr>
        <w:t xml:space="preserve"> correspondence were redefined and Mongols communicating with the throne were provided with a set of </w:t>
      </w:r>
      <w:r w:rsidR="00602E54">
        <w:rPr>
          <w:lang w:val="en-US"/>
        </w:rPr>
        <w:t xml:space="preserve">terminological </w:t>
      </w:r>
      <w:r w:rsidR="00CE62EE">
        <w:rPr>
          <w:lang w:val="en-US"/>
        </w:rPr>
        <w:t>rules which they had to follow.</w:t>
      </w:r>
      <w:r w:rsidR="004922E9">
        <w:rPr>
          <w:rStyle w:val="Endnotenzeichen"/>
          <w:lang w:val="en-US"/>
        </w:rPr>
        <w:endnoteReference w:id="10"/>
      </w:r>
      <w:r w:rsidR="00CE62EE">
        <w:rPr>
          <w:lang w:val="en-US"/>
        </w:rPr>
        <w:t xml:space="preserve"> </w:t>
      </w:r>
      <w:r w:rsidR="00D84AD4">
        <w:rPr>
          <w:lang w:val="en-US"/>
        </w:rPr>
        <w:t>We may assume that f</w:t>
      </w:r>
      <w:r w:rsidR="004506B6">
        <w:rPr>
          <w:lang w:val="en-US"/>
        </w:rPr>
        <w:t xml:space="preserve">ormalized </w:t>
      </w:r>
      <w:r w:rsidR="00D015C8">
        <w:rPr>
          <w:lang w:val="en-US"/>
        </w:rPr>
        <w:t xml:space="preserve">language and </w:t>
      </w:r>
      <w:proofErr w:type="spellStart"/>
      <w:r w:rsidR="004506B6">
        <w:rPr>
          <w:lang w:val="en-US"/>
        </w:rPr>
        <w:t>behaviour</w:t>
      </w:r>
      <w:proofErr w:type="spellEnd"/>
      <w:r w:rsidR="004506B6">
        <w:rPr>
          <w:lang w:val="en-US"/>
        </w:rPr>
        <w:t xml:space="preserve"> helped to forge a corporate identity of loyal adherents of the Manchu ruler, who, by complying </w:t>
      </w:r>
      <w:r w:rsidR="00484D70">
        <w:rPr>
          <w:lang w:val="en-US"/>
        </w:rPr>
        <w:t>with</w:t>
      </w:r>
      <w:r w:rsidR="004506B6">
        <w:rPr>
          <w:lang w:val="en-US"/>
        </w:rPr>
        <w:t xml:space="preserve"> a special code of conduct, distinguished themselves from both comm</w:t>
      </w:r>
      <w:r w:rsidR="00E329AE">
        <w:rPr>
          <w:lang w:val="en-US"/>
        </w:rPr>
        <w:t>oners and rival Mongol leaders.</w:t>
      </w:r>
      <w:r w:rsidR="004D61FE">
        <w:rPr>
          <w:lang w:val="en-US"/>
        </w:rPr>
        <w:t xml:space="preserve"> </w:t>
      </w:r>
      <w:r w:rsidR="00F34DA4">
        <w:rPr>
          <w:lang w:val="en-US"/>
        </w:rPr>
        <w:t xml:space="preserve">As will be shown below, with the </w:t>
      </w:r>
      <w:proofErr w:type="spellStart"/>
      <w:r w:rsidR="00F34DA4">
        <w:rPr>
          <w:lang w:val="en-US"/>
        </w:rPr>
        <w:t>Lifanyuan</w:t>
      </w:r>
      <w:proofErr w:type="spellEnd"/>
      <w:r w:rsidR="00E35902">
        <w:rPr>
          <w:lang w:val="en-US"/>
        </w:rPr>
        <w:t xml:space="preserve"> taking up its bus</w:t>
      </w:r>
      <w:r w:rsidR="00E755F5">
        <w:rPr>
          <w:lang w:val="en-US"/>
        </w:rPr>
        <w:t>iness the trend towards formaliz</w:t>
      </w:r>
      <w:r w:rsidR="00E35902">
        <w:rPr>
          <w:lang w:val="en-US"/>
        </w:rPr>
        <w:t>ation was reinforced.</w:t>
      </w:r>
    </w:p>
    <w:p w:rsidR="00EE7C65" w:rsidRDefault="00EE7C65" w:rsidP="00CE62EE">
      <w:pPr>
        <w:autoSpaceDE w:val="0"/>
        <w:autoSpaceDN w:val="0"/>
        <w:adjustRightInd w:val="0"/>
        <w:rPr>
          <w:lang w:val="en-US"/>
        </w:rPr>
      </w:pPr>
    </w:p>
    <w:p w:rsidR="00AE7F2D" w:rsidRDefault="00AE7F2D" w:rsidP="00CE62EE">
      <w:pPr>
        <w:autoSpaceDE w:val="0"/>
        <w:autoSpaceDN w:val="0"/>
        <w:adjustRightInd w:val="0"/>
        <w:rPr>
          <w:lang w:val="en-US"/>
        </w:rPr>
      </w:pPr>
    </w:p>
    <w:p w:rsidR="00607328" w:rsidRPr="0066025C" w:rsidRDefault="00B25E9D" w:rsidP="00607328">
      <w:pPr>
        <w:rPr>
          <w:b/>
          <w:lang w:val="en-US"/>
        </w:rPr>
      </w:pPr>
      <w:r>
        <w:rPr>
          <w:b/>
          <w:lang w:val="en-US"/>
        </w:rPr>
        <w:t xml:space="preserve">Formalizing </w:t>
      </w:r>
      <w:r w:rsidR="00EE7C65">
        <w:rPr>
          <w:b/>
          <w:lang w:val="en-US"/>
        </w:rPr>
        <w:t>G</w:t>
      </w:r>
      <w:r w:rsidR="00EE7C65" w:rsidRPr="0066025C">
        <w:rPr>
          <w:b/>
          <w:lang w:val="en-US"/>
        </w:rPr>
        <w:t xml:space="preserve">ift </w:t>
      </w:r>
      <w:r w:rsidR="00EE7C65">
        <w:rPr>
          <w:b/>
          <w:lang w:val="en-US"/>
        </w:rPr>
        <w:t>E</w:t>
      </w:r>
      <w:r w:rsidR="00EE7C65" w:rsidRPr="0066025C">
        <w:rPr>
          <w:b/>
          <w:lang w:val="en-US"/>
        </w:rPr>
        <w:t>xchange</w:t>
      </w:r>
      <w:r w:rsidR="00EE7C65">
        <w:rPr>
          <w:b/>
          <w:lang w:val="en-US"/>
        </w:rPr>
        <w:t xml:space="preserve"> and </w:t>
      </w:r>
      <w:r>
        <w:rPr>
          <w:b/>
          <w:lang w:val="en-US"/>
        </w:rPr>
        <w:t>Visits to the C</w:t>
      </w:r>
      <w:r w:rsidR="00607328">
        <w:rPr>
          <w:b/>
          <w:lang w:val="en-US"/>
        </w:rPr>
        <w:t>ourt</w:t>
      </w:r>
      <w:r w:rsidR="00607328" w:rsidRPr="0066025C">
        <w:rPr>
          <w:b/>
          <w:lang w:val="en-US"/>
        </w:rPr>
        <w:t xml:space="preserve"> </w:t>
      </w:r>
    </w:p>
    <w:p w:rsidR="00C15DEC" w:rsidRDefault="006C74D1" w:rsidP="00305C61">
      <w:pPr>
        <w:jc w:val="both"/>
        <w:rPr>
          <w:lang w:val="en-US"/>
        </w:rPr>
      </w:pPr>
      <w:r>
        <w:rPr>
          <w:lang w:val="en-US"/>
        </w:rPr>
        <w:t xml:space="preserve">Chia Ning has drawn our attention to the importance of rituals in the interaction of the Qing with Inner Asia and </w:t>
      </w:r>
      <w:r w:rsidR="00202FC5">
        <w:rPr>
          <w:lang w:val="en-US"/>
        </w:rPr>
        <w:t xml:space="preserve">has done research on the different tasks of </w:t>
      </w:r>
      <w:r>
        <w:rPr>
          <w:lang w:val="en-US"/>
        </w:rPr>
        <w:t xml:space="preserve">the </w:t>
      </w:r>
      <w:proofErr w:type="spellStart"/>
      <w:r>
        <w:rPr>
          <w:lang w:val="en-US"/>
        </w:rPr>
        <w:t>Lifanyuan</w:t>
      </w:r>
      <w:proofErr w:type="spellEnd"/>
      <w:r w:rsidR="00202FC5">
        <w:rPr>
          <w:lang w:val="en-US"/>
        </w:rPr>
        <w:t>, which</w:t>
      </w:r>
      <w:r>
        <w:rPr>
          <w:lang w:val="en-US"/>
        </w:rPr>
        <w:t xml:space="preserve"> was responsible for their correct performance.</w:t>
      </w:r>
      <w:r w:rsidRPr="006C74D1">
        <w:rPr>
          <w:rStyle w:val="Funotenzeichen"/>
          <w:iCs/>
          <w:lang w:val="en-US"/>
        </w:rPr>
        <w:t xml:space="preserve"> </w:t>
      </w:r>
      <w:r w:rsidR="00284579">
        <w:rPr>
          <w:lang w:val="en-US"/>
        </w:rPr>
        <w:t xml:space="preserve">Concentrating on three different aspects, </w:t>
      </w:r>
      <w:r w:rsidR="00064E24">
        <w:rPr>
          <w:lang w:val="en-US"/>
        </w:rPr>
        <w:t>that is</w:t>
      </w:r>
      <w:r w:rsidR="00305C61">
        <w:rPr>
          <w:lang w:val="en-US"/>
        </w:rPr>
        <w:t xml:space="preserve"> </w:t>
      </w:r>
      <w:r w:rsidR="00284579">
        <w:rPr>
          <w:lang w:val="en-US"/>
        </w:rPr>
        <w:t xml:space="preserve">visits to the court, the Imperial Hunt and Tribute, </w:t>
      </w:r>
      <w:r w:rsidR="00C035AA">
        <w:rPr>
          <w:lang w:val="en-US"/>
        </w:rPr>
        <w:t>Chia Ning argues that these p</w:t>
      </w:r>
      <w:r w:rsidR="00195217">
        <w:rPr>
          <w:lang w:val="en-US"/>
        </w:rPr>
        <w:t>ractice</w:t>
      </w:r>
      <w:r w:rsidR="002E7BD5">
        <w:rPr>
          <w:lang w:val="en-US"/>
        </w:rPr>
        <w:t>s were part of Manchu Mongol</w:t>
      </w:r>
      <w:r w:rsidR="00C035AA">
        <w:rPr>
          <w:lang w:val="en-US"/>
        </w:rPr>
        <w:t xml:space="preserve"> political interaction</w:t>
      </w:r>
      <w:r w:rsidR="00195217">
        <w:rPr>
          <w:lang w:val="en-US"/>
        </w:rPr>
        <w:t xml:space="preserve"> </w:t>
      </w:r>
      <w:r w:rsidR="00C035AA">
        <w:rPr>
          <w:lang w:val="en-US"/>
        </w:rPr>
        <w:t>as early as the 1630s</w:t>
      </w:r>
      <w:r w:rsidR="00CF4BE4" w:rsidRPr="00CF4BE4">
        <w:rPr>
          <w:lang w:val="en-US"/>
        </w:rPr>
        <w:t xml:space="preserve"> </w:t>
      </w:r>
      <w:r w:rsidR="00CF4BE4">
        <w:rPr>
          <w:lang w:val="en-US"/>
        </w:rPr>
        <w:t xml:space="preserve">(1993: </w:t>
      </w:r>
      <w:r w:rsidR="00CF4BE4" w:rsidRPr="00CF4BE4">
        <w:rPr>
          <w:lang w:val="en-US"/>
        </w:rPr>
        <w:t>64-70</w:t>
      </w:r>
      <w:r w:rsidR="00CF4BE4">
        <w:rPr>
          <w:lang w:val="en-US"/>
        </w:rPr>
        <w:t>)</w:t>
      </w:r>
      <w:r w:rsidR="00C035AA">
        <w:rPr>
          <w:lang w:val="en-US"/>
        </w:rPr>
        <w:t>.</w:t>
      </w:r>
      <w:r w:rsidR="00305C61">
        <w:rPr>
          <w:lang w:val="en-US"/>
        </w:rPr>
        <w:t xml:space="preserve"> </w:t>
      </w:r>
      <w:r w:rsidR="00284579">
        <w:rPr>
          <w:lang w:val="en-US"/>
        </w:rPr>
        <w:t>In order to better understand the transformation these symbolic actions underwent over the course of time</w:t>
      </w:r>
      <w:r w:rsidR="008C6AB8">
        <w:rPr>
          <w:lang w:val="en-US"/>
        </w:rPr>
        <w:t xml:space="preserve"> – and especially with the imperial court moving to Beijing in 1644 -</w:t>
      </w:r>
      <w:r w:rsidR="00284579">
        <w:rPr>
          <w:lang w:val="en-US"/>
        </w:rPr>
        <w:t>, it is instructive to take a closer look at</w:t>
      </w:r>
      <w:r w:rsidR="00A112D6">
        <w:rPr>
          <w:lang w:val="en-US"/>
        </w:rPr>
        <w:t xml:space="preserve"> archival material</w:t>
      </w:r>
      <w:r w:rsidR="00284579">
        <w:rPr>
          <w:lang w:val="en-US"/>
        </w:rPr>
        <w:t xml:space="preserve">. </w:t>
      </w:r>
      <w:r w:rsidR="004927C1">
        <w:rPr>
          <w:lang w:val="en-US"/>
        </w:rPr>
        <w:t xml:space="preserve">To appear at the court at </w:t>
      </w:r>
      <w:r w:rsidR="00202FC5">
        <w:rPr>
          <w:lang w:val="en-US"/>
        </w:rPr>
        <w:t>New Y</w:t>
      </w:r>
      <w:r w:rsidR="004927C1">
        <w:rPr>
          <w:lang w:val="en-US"/>
        </w:rPr>
        <w:t xml:space="preserve">ear and express one’s good wishes by </w:t>
      </w:r>
      <w:r w:rsidR="00474BB4">
        <w:rPr>
          <w:lang w:val="en-US"/>
        </w:rPr>
        <w:t xml:space="preserve">bowing down and </w:t>
      </w:r>
      <w:r w:rsidR="004927C1">
        <w:rPr>
          <w:lang w:val="en-US"/>
        </w:rPr>
        <w:t>presenting gifts to the ruler was common practice long before the est</w:t>
      </w:r>
      <w:r w:rsidR="00B72B91">
        <w:rPr>
          <w:lang w:val="en-US"/>
        </w:rPr>
        <w:t xml:space="preserve">ablishment of the Qing dynasty and is frequently mentioned in the </w:t>
      </w:r>
      <w:r w:rsidR="00B72B91" w:rsidRPr="00725AE4">
        <w:rPr>
          <w:i/>
          <w:lang w:val="en-US"/>
        </w:rPr>
        <w:t xml:space="preserve">Jiu </w:t>
      </w:r>
      <w:proofErr w:type="spellStart"/>
      <w:r w:rsidR="00B72B91" w:rsidRPr="00725AE4">
        <w:rPr>
          <w:i/>
          <w:lang w:val="en-US"/>
        </w:rPr>
        <w:t>Manzhou</w:t>
      </w:r>
      <w:proofErr w:type="spellEnd"/>
      <w:r w:rsidR="00B72B91" w:rsidRPr="00725AE4">
        <w:rPr>
          <w:i/>
          <w:lang w:val="en-US"/>
        </w:rPr>
        <w:t xml:space="preserve"> Dang</w:t>
      </w:r>
      <w:r w:rsidR="00B72B91">
        <w:rPr>
          <w:lang w:val="en-US"/>
        </w:rPr>
        <w:t>, the Old Manchu Archives, the earliest extant source on the historical events, which led to the founding of the Qing dynasty</w:t>
      </w:r>
      <w:r w:rsidR="00202FC5" w:rsidRPr="00957093">
        <w:rPr>
          <w:lang w:val="en-US"/>
        </w:rPr>
        <w:t xml:space="preserve">. </w:t>
      </w:r>
      <w:r w:rsidR="00C15DEC" w:rsidRPr="00957093">
        <w:rPr>
          <w:lang w:val="en-US"/>
        </w:rPr>
        <w:t>From the 8</w:t>
      </w:r>
      <w:r w:rsidR="00C15DEC" w:rsidRPr="00957093">
        <w:rPr>
          <w:vertAlign w:val="superscript"/>
          <w:lang w:val="en-US"/>
        </w:rPr>
        <w:t>th</w:t>
      </w:r>
      <w:r w:rsidR="00C15DEC" w:rsidRPr="00957093">
        <w:rPr>
          <w:lang w:val="en-US"/>
        </w:rPr>
        <w:t xml:space="preserve"> day of the first luna</w:t>
      </w:r>
      <w:r w:rsidR="00D34691">
        <w:rPr>
          <w:lang w:val="en-US"/>
        </w:rPr>
        <w:t>r month of the fifth year of Sur</w:t>
      </w:r>
      <w:r w:rsidR="00C15DEC" w:rsidRPr="00957093">
        <w:rPr>
          <w:lang w:val="en-US"/>
        </w:rPr>
        <w:t xml:space="preserve">e </w:t>
      </w:r>
      <w:r w:rsidR="00957093" w:rsidRPr="00957093">
        <w:rPr>
          <w:lang w:val="en-US"/>
        </w:rPr>
        <w:t>Kh</w:t>
      </w:r>
      <w:r w:rsidR="00C15DEC" w:rsidRPr="00957093">
        <w:rPr>
          <w:lang w:val="en-US"/>
        </w:rPr>
        <w:t>an</w:t>
      </w:r>
      <w:r w:rsidR="00BC3030">
        <w:rPr>
          <w:lang w:val="en-US"/>
        </w:rPr>
        <w:t xml:space="preserve"> (February 8</w:t>
      </w:r>
      <w:r w:rsidR="00BC3030" w:rsidRPr="00BC3030">
        <w:rPr>
          <w:vertAlign w:val="superscript"/>
          <w:lang w:val="en-US"/>
        </w:rPr>
        <w:t>th</w:t>
      </w:r>
      <w:r w:rsidR="00BC3030">
        <w:rPr>
          <w:lang w:val="en-US"/>
        </w:rPr>
        <w:t>, 1631)</w:t>
      </w:r>
      <w:r w:rsidR="00C15DEC" w:rsidRPr="00957093">
        <w:rPr>
          <w:lang w:val="en-US"/>
        </w:rPr>
        <w:t xml:space="preserve">, </w:t>
      </w:r>
      <w:r w:rsidR="006E6D03">
        <w:rPr>
          <w:lang w:val="en-US"/>
        </w:rPr>
        <w:t xml:space="preserve">for example, </w:t>
      </w:r>
      <w:r w:rsidR="00C15DEC" w:rsidRPr="00957093">
        <w:rPr>
          <w:lang w:val="en-US"/>
        </w:rPr>
        <w:t xml:space="preserve">the </w:t>
      </w:r>
      <w:r w:rsidR="00C15DEC" w:rsidRPr="001C31F3">
        <w:rPr>
          <w:i/>
          <w:lang w:val="en-US"/>
        </w:rPr>
        <w:t xml:space="preserve">Jiu </w:t>
      </w:r>
      <w:proofErr w:type="spellStart"/>
      <w:r w:rsidR="00C15DEC" w:rsidRPr="001C31F3">
        <w:rPr>
          <w:i/>
          <w:lang w:val="en-US"/>
        </w:rPr>
        <w:t>Manzhou</w:t>
      </w:r>
      <w:proofErr w:type="spellEnd"/>
      <w:r w:rsidR="00C15DEC" w:rsidRPr="001C31F3">
        <w:rPr>
          <w:i/>
          <w:lang w:val="en-US"/>
        </w:rPr>
        <w:t xml:space="preserve"> Dang</w:t>
      </w:r>
      <w:r w:rsidR="00C15DEC" w:rsidRPr="00957093">
        <w:rPr>
          <w:lang w:val="en-US"/>
        </w:rPr>
        <w:t xml:space="preserve"> report:</w:t>
      </w:r>
      <w:r w:rsidR="00CF4BE4">
        <w:rPr>
          <w:rStyle w:val="Endnotenzeichen"/>
          <w:lang w:val="en-US"/>
        </w:rPr>
        <w:endnoteReference w:id="11"/>
      </w:r>
    </w:p>
    <w:p w:rsidR="00957093" w:rsidRPr="00957093" w:rsidRDefault="00957093" w:rsidP="00F82EB1">
      <w:pPr>
        <w:rPr>
          <w:lang w:val="en-US"/>
        </w:rPr>
      </w:pPr>
    </w:p>
    <w:p w:rsidR="00C15DEC" w:rsidRDefault="00C15DEC" w:rsidP="00957093">
      <w:pPr>
        <w:ind w:left="708"/>
        <w:rPr>
          <w:lang w:val="en-US"/>
        </w:rPr>
      </w:pPr>
      <w:r w:rsidRPr="00957093">
        <w:rPr>
          <w:lang w:val="en-US"/>
        </w:rPr>
        <w:t>On the 8</w:t>
      </w:r>
      <w:r w:rsidRPr="00957093">
        <w:rPr>
          <w:vertAlign w:val="superscript"/>
          <w:lang w:val="en-US"/>
        </w:rPr>
        <w:t>th</w:t>
      </w:r>
      <w:r w:rsidRPr="00957093">
        <w:rPr>
          <w:lang w:val="en-US"/>
        </w:rPr>
        <w:t xml:space="preserve"> day </w:t>
      </w:r>
      <w:proofErr w:type="spellStart"/>
      <w:r w:rsidRPr="00957093">
        <w:rPr>
          <w:lang w:val="en-US"/>
        </w:rPr>
        <w:t>Šamba</w:t>
      </w:r>
      <w:proofErr w:type="spellEnd"/>
      <w:r w:rsidRPr="00957093">
        <w:rPr>
          <w:lang w:val="en-US"/>
        </w:rPr>
        <w:t xml:space="preserve"> </w:t>
      </w:r>
      <w:proofErr w:type="spellStart"/>
      <w:r w:rsidRPr="00957093">
        <w:rPr>
          <w:lang w:val="en-US"/>
        </w:rPr>
        <w:t>Tabunang</w:t>
      </w:r>
      <w:proofErr w:type="spellEnd"/>
      <w:r w:rsidR="00CF4BE4">
        <w:rPr>
          <w:rStyle w:val="Endnotenzeichen"/>
          <w:lang w:val="en-US"/>
        </w:rPr>
        <w:endnoteReference w:id="12"/>
      </w:r>
      <w:r w:rsidRPr="00957093">
        <w:rPr>
          <w:lang w:val="en-US"/>
        </w:rPr>
        <w:t xml:space="preserve"> and </w:t>
      </w:r>
      <w:proofErr w:type="spellStart"/>
      <w:r w:rsidRPr="00957093">
        <w:rPr>
          <w:lang w:val="en-US"/>
        </w:rPr>
        <w:t>Sirantu</w:t>
      </w:r>
      <w:proofErr w:type="spellEnd"/>
      <w:r w:rsidRPr="00957093">
        <w:rPr>
          <w:lang w:val="en-US"/>
        </w:rPr>
        <w:t xml:space="preserve"> of the </w:t>
      </w:r>
      <w:proofErr w:type="spellStart"/>
      <w:r w:rsidR="00C73FE8" w:rsidRPr="00957093">
        <w:rPr>
          <w:lang w:val="en-US"/>
        </w:rPr>
        <w:t>Qaračin</w:t>
      </w:r>
      <w:proofErr w:type="spellEnd"/>
      <w:r w:rsidR="00C73FE8" w:rsidRPr="00957093">
        <w:rPr>
          <w:lang w:val="en-US"/>
        </w:rPr>
        <w:t xml:space="preserve"> came in order </w:t>
      </w:r>
      <w:r w:rsidR="002C1D00">
        <w:rPr>
          <w:lang w:val="en-US"/>
        </w:rPr>
        <w:t>to make kowtow in front of the Kh</w:t>
      </w:r>
      <w:r w:rsidR="00C73FE8" w:rsidRPr="00957093">
        <w:rPr>
          <w:lang w:val="en-US"/>
        </w:rPr>
        <w:t>an</w:t>
      </w:r>
      <w:r w:rsidR="009A4009" w:rsidRPr="00957093">
        <w:rPr>
          <w:lang w:val="en-US"/>
        </w:rPr>
        <w:t xml:space="preserve">. What they brought [as presents]: </w:t>
      </w:r>
      <w:proofErr w:type="spellStart"/>
      <w:r w:rsidR="009A4009" w:rsidRPr="00957093">
        <w:rPr>
          <w:lang w:val="en-US"/>
        </w:rPr>
        <w:t>Šamba</w:t>
      </w:r>
      <w:proofErr w:type="spellEnd"/>
      <w:r w:rsidR="009A4009" w:rsidRPr="00957093">
        <w:rPr>
          <w:lang w:val="en-US"/>
        </w:rPr>
        <w:t xml:space="preserve"> </w:t>
      </w:r>
      <w:r w:rsidR="00957093" w:rsidRPr="00957093">
        <w:rPr>
          <w:lang w:val="en-US"/>
        </w:rPr>
        <w:t xml:space="preserve">hold ready </w:t>
      </w:r>
      <w:r w:rsidR="009A4009" w:rsidRPr="00957093">
        <w:rPr>
          <w:lang w:val="en-US"/>
        </w:rPr>
        <w:t>one horse and me</w:t>
      </w:r>
      <w:r w:rsidR="001C31F3">
        <w:rPr>
          <w:lang w:val="en-US"/>
        </w:rPr>
        <w:t>a</w:t>
      </w:r>
      <w:r w:rsidR="009A4009" w:rsidRPr="00957093">
        <w:rPr>
          <w:lang w:val="en-US"/>
        </w:rPr>
        <w:t>t of five sheep</w:t>
      </w:r>
      <w:r w:rsidR="00957093" w:rsidRPr="00957093">
        <w:rPr>
          <w:lang w:val="en-US"/>
        </w:rPr>
        <w:t>,</w:t>
      </w:r>
      <w:r w:rsidR="009A4009" w:rsidRPr="00957093">
        <w:rPr>
          <w:lang w:val="en-US"/>
        </w:rPr>
        <w:t xml:space="preserve"> </w:t>
      </w:r>
      <w:proofErr w:type="spellStart"/>
      <w:r w:rsidR="009A4009" w:rsidRPr="00957093">
        <w:rPr>
          <w:lang w:val="en-US"/>
        </w:rPr>
        <w:t>Sirantu</w:t>
      </w:r>
      <w:proofErr w:type="spellEnd"/>
      <w:r w:rsidR="009A4009" w:rsidRPr="00957093">
        <w:rPr>
          <w:lang w:val="en-US"/>
        </w:rPr>
        <w:t xml:space="preserve"> one horse,</w:t>
      </w:r>
      <w:r w:rsidR="009A4009">
        <w:rPr>
          <w:lang w:val="en-US"/>
        </w:rPr>
        <w:t xml:space="preserve"> one falcon</w:t>
      </w:r>
      <w:r w:rsidR="00957093">
        <w:rPr>
          <w:lang w:val="en-US"/>
        </w:rPr>
        <w:t xml:space="preserve"> and one tiger skin. [The Khan] took the </w:t>
      </w:r>
      <w:proofErr w:type="spellStart"/>
      <w:r w:rsidR="002C1D00">
        <w:rPr>
          <w:lang w:val="en-US"/>
        </w:rPr>
        <w:t>sheep</w:t>
      </w:r>
      <w:r w:rsidR="00957093">
        <w:rPr>
          <w:lang w:val="en-US"/>
        </w:rPr>
        <w:t>meat</w:t>
      </w:r>
      <w:proofErr w:type="spellEnd"/>
      <w:r w:rsidR="00957093">
        <w:rPr>
          <w:lang w:val="en-US"/>
        </w:rPr>
        <w:t xml:space="preserve"> and the falcon. He did not take anything else </w:t>
      </w:r>
      <w:r w:rsidR="000D3557">
        <w:rPr>
          <w:lang w:val="en-US"/>
        </w:rPr>
        <w:t>[but]</w:t>
      </w:r>
      <w:r w:rsidR="00957093">
        <w:rPr>
          <w:lang w:val="en-US"/>
        </w:rPr>
        <w:t xml:space="preserve"> returned it.</w:t>
      </w:r>
    </w:p>
    <w:p w:rsidR="00C15DEC" w:rsidRDefault="00C15DEC" w:rsidP="00F82EB1">
      <w:pPr>
        <w:rPr>
          <w:lang w:val="en-US"/>
        </w:rPr>
      </w:pPr>
    </w:p>
    <w:p w:rsidR="001C31F3" w:rsidRDefault="001C31F3" w:rsidP="00F82EB1">
      <w:pPr>
        <w:rPr>
          <w:lang w:val="en-US"/>
        </w:rPr>
      </w:pPr>
      <w:r>
        <w:rPr>
          <w:lang w:val="en-US"/>
        </w:rPr>
        <w:t xml:space="preserve">Five days later, </w:t>
      </w:r>
      <w:r w:rsidRPr="00BC3030">
        <w:rPr>
          <w:lang w:val="en-US"/>
        </w:rPr>
        <w:t xml:space="preserve">the </w:t>
      </w:r>
      <w:proofErr w:type="spellStart"/>
      <w:r w:rsidR="00BC3030" w:rsidRPr="00BC3030">
        <w:rPr>
          <w:lang w:val="en-US"/>
        </w:rPr>
        <w:t>Qaračin</w:t>
      </w:r>
      <w:proofErr w:type="spellEnd"/>
      <w:r w:rsidR="00BC3030" w:rsidRPr="00BC3030">
        <w:rPr>
          <w:lang w:val="en-US"/>
        </w:rPr>
        <w:t xml:space="preserve"> delegation</w:t>
      </w:r>
      <w:r w:rsidR="00BC3030">
        <w:rPr>
          <w:lang w:val="en-US"/>
        </w:rPr>
        <w:t xml:space="preserve"> left </w:t>
      </w:r>
      <w:r>
        <w:rPr>
          <w:lang w:val="en-US"/>
        </w:rPr>
        <w:t xml:space="preserve">and the </w:t>
      </w:r>
      <w:r w:rsidRPr="001C31F3">
        <w:rPr>
          <w:i/>
          <w:lang w:val="en-US"/>
        </w:rPr>
        <w:t xml:space="preserve">Jiu </w:t>
      </w:r>
      <w:proofErr w:type="spellStart"/>
      <w:r w:rsidRPr="001C31F3">
        <w:rPr>
          <w:i/>
          <w:lang w:val="en-US"/>
        </w:rPr>
        <w:t>Manzhou</w:t>
      </w:r>
      <w:proofErr w:type="spellEnd"/>
      <w:r w:rsidRPr="001C31F3">
        <w:rPr>
          <w:i/>
          <w:lang w:val="en-US"/>
        </w:rPr>
        <w:t xml:space="preserve"> Dang</w:t>
      </w:r>
      <w:r w:rsidRPr="00957093">
        <w:rPr>
          <w:lang w:val="en-US"/>
        </w:rPr>
        <w:t xml:space="preserve"> </w:t>
      </w:r>
      <w:r>
        <w:rPr>
          <w:lang w:val="en-US"/>
        </w:rPr>
        <w:t>record the following:</w:t>
      </w:r>
      <w:r w:rsidR="00CF4BE4">
        <w:rPr>
          <w:rStyle w:val="Endnotenzeichen"/>
          <w:lang w:val="en-US"/>
        </w:rPr>
        <w:endnoteReference w:id="13"/>
      </w:r>
    </w:p>
    <w:p w:rsidR="007B733C" w:rsidRDefault="007B733C" w:rsidP="00F82EB1">
      <w:pPr>
        <w:rPr>
          <w:lang w:val="en-US"/>
        </w:rPr>
      </w:pPr>
    </w:p>
    <w:p w:rsidR="001C31F3" w:rsidRDefault="001C31F3" w:rsidP="00CC586F">
      <w:pPr>
        <w:ind w:left="708"/>
        <w:rPr>
          <w:lang w:val="en-US"/>
        </w:rPr>
      </w:pPr>
      <w:r>
        <w:rPr>
          <w:lang w:val="en-US"/>
        </w:rPr>
        <w:t xml:space="preserve">On that same day </w:t>
      </w:r>
      <w:proofErr w:type="spellStart"/>
      <w:r w:rsidR="002C1D00">
        <w:rPr>
          <w:lang w:val="en-US"/>
        </w:rPr>
        <w:t>Šamba</w:t>
      </w:r>
      <w:proofErr w:type="spellEnd"/>
      <w:r w:rsidR="002C1D00">
        <w:rPr>
          <w:lang w:val="en-US"/>
        </w:rPr>
        <w:t xml:space="preserve"> </w:t>
      </w:r>
      <w:proofErr w:type="spellStart"/>
      <w:r w:rsidR="002C1D00">
        <w:rPr>
          <w:lang w:val="en-US"/>
        </w:rPr>
        <w:t>Tabunang</w:t>
      </w:r>
      <w:proofErr w:type="spellEnd"/>
      <w:r w:rsidR="002C1D00">
        <w:rPr>
          <w:lang w:val="en-US"/>
        </w:rPr>
        <w:t xml:space="preserve">, </w:t>
      </w:r>
      <w:proofErr w:type="spellStart"/>
      <w:r w:rsidRPr="00957093">
        <w:rPr>
          <w:lang w:val="en-US"/>
        </w:rPr>
        <w:t>Sirantu</w:t>
      </w:r>
      <w:proofErr w:type="spellEnd"/>
      <w:r w:rsidRPr="00957093">
        <w:rPr>
          <w:lang w:val="en-US"/>
        </w:rPr>
        <w:t xml:space="preserve"> </w:t>
      </w:r>
      <w:r w:rsidR="00CC586F">
        <w:rPr>
          <w:lang w:val="en-US"/>
        </w:rPr>
        <w:t>and Wang Lama</w:t>
      </w:r>
      <w:r>
        <w:rPr>
          <w:lang w:val="en-US"/>
        </w:rPr>
        <w:t xml:space="preserve"> </w:t>
      </w:r>
      <w:r w:rsidRPr="00957093">
        <w:rPr>
          <w:lang w:val="en-US"/>
        </w:rPr>
        <w:t xml:space="preserve">of the </w:t>
      </w:r>
      <w:proofErr w:type="spellStart"/>
      <w:r w:rsidRPr="00957093">
        <w:rPr>
          <w:lang w:val="en-US"/>
        </w:rPr>
        <w:t>Qaračin</w:t>
      </w:r>
      <w:proofErr w:type="spellEnd"/>
      <w:r>
        <w:rPr>
          <w:lang w:val="en-US"/>
        </w:rPr>
        <w:t xml:space="preserve"> left. What was given to them on the occasion of their departure: </w:t>
      </w:r>
      <w:r w:rsidR="007B733C">
        <w:rPr>
          <w:lang w:val="en-US"/>
        </w:rPr>
        <w:t xml:space="preserve">We handed over </w:t>
      </w:r>
      <w:r>
        <w:rPr>
          <w:lang w:val="en-US"/>
        </w:rPr>
        <w:t>one sword</w:t>
      </w:r>
      <w:r w:rsidR="007B733C">
        <w:rPr>
          <w:lang w:val="en-US"/>
        </w:rPr>
        <w:t xml:space="preserve"> and</w:t>
      </w:r>
      <w:r>
        <w:rPr>
          <w:lang w:val="en-US"/>
        </w:rPr>
        <w:t xml:space="preserve"> </w:t>
      </w:r>
      <w:r w:rsidR="007B733C">
        <w:rPr>
          <w:lang w:val="en-US"/>
        </w:rPr>
        <w:t>ten bushel</w:t>
      </w:r>
      <w:r w:rsidR="00BC3030">
        <w:rPr>
          <w:lang w:val="en-US"/>
        </w:rPr>
        <w:t>s</w:t>
      </w:r>
      <w:r w:rsidR="007B733C">
        <w:rPr>
          <w:lang w:val="en-US"/>
        </w:rPr>
        <w:t xml:space="preserve"> of grain to </w:t>
      </w:r>
      <w:proofErr w:type="spellStart"/>
      <w:r w:rsidR="007B733C" w:rsidRPr="00957093">
        <w:rPr>
          <w:lang w:val="en-US"/>
        </w:rPr>
        <w:t>Šamba</w:t>
      </w:r>
      <w:proofErr w:type="spellEnd"/>
      <w:r w:rsidR="007B733C" w:rsidRPr="00957093">
        <w:rPr>
          <w:lang w:val="en-US"/>
        </w:rPr>
        <w:t xml:space="preserve"> </w:t>
      </w:r>
      <w:proofErr w:type="spellStart"/>
      <w:r w:rsidR="007B733C" w:rsidRPr="00957093">
        <w:rPr>
          <w:lang w:val="en-US"/>
        </w:rPr>
        <w:t>Tabunang</w:t>
      </w:r>
      <w:proofErr w:type="spellEnd"/>
      <w:r w:rsidR="00CC586F">
        <w:rPr>
          <w:lang w:val="en-US"/>
        </w:rPr>
        <w:t>,</w:t>
      </w:r>
      <w:r w:rsidR="007B733C">
        <w:rPr>
          <w:lang w:val="en-US"/>
        </w:rPr>
        <w:t xml:space="preserve"> one quiver and ten bushel</w:t>
      </w:r>
      <w:r w:rsidR="00BC3030">
        <w:rPr>
          <w:lang w:val="en-US"/>
        </w:rPr>
        <w:t>s</w:t>
      </w:r>
      <w:r w:rsidR="007B733C">
        <w:rPr>
          <w:lang w:val="en-US"/>
        </w:rPr>
        <w:t xml:space="preserve"> of grain to </w:t>
      </w:r>
      <w:proofErr w:type="spellStart"/>
      <w:r w:rsidR="007B733C">
        <w:rPr>
          <w:lang w:val="en-US"/>
        </w:rPr>
        <w:t>Sirantu</w:t>
      </w:r>
      <w:proofErr w:type="spellEnd"/>
      <w:r w:rsidR="00CC586F">
        <w:rPr>
          <w:lang w:val="en-US"/>
        </w:rPr>
        <w:t xml:space="preserve"> and one scale armor, one harness and one helmet to Wang Lama.</w:t>
      </w:r>
    </w:p>
    <w:p w:rsidR="00CC586F" w:rsidRDefault="00CC586F" w:rsidP="00CC586F">
      <w:pPr>
        <w:ind w:left="708"/>
        <w:rPr>
          <w:lang w:val="en-US"/>
        </w:rPr>
      </w:pPr>
    </w:p>
    <w:p w:rsidR="00E37D2C" w:rsidRPr="008D31DA" w:rsidRDefault="00B72B91" w:rsidP="00305C61">
      <w:pPr>
        <w:jc w:val="both"/>
        <w:rPr>
          <w:lang w:val="en-US"/>
        </w:rPr>
      </w:pPr>
      <w:r>
        <w:rPr>
          <w:lang w:val="en-US"/>
        </w:rPr>
        <w:t xml:space="preserve">From the </w:t>
      </w:r>
      <w:r w:rsidR="006E6D03" w:rsidRPr="00202FC5">
        <w:rPr>
          <w:i/>
          <w:lang w:val="en-US"/>
        </w:rPr>
        <w:t xml:space="preserve">Jiu </w:t>
      </w:r>
      <w:proofErr w:type="spellStart"/>
      <w:r w:rsidR="006E6D03" w:rsidRPr="00202FC5">
        <w:rPr>
          <w:i/>
          <w:lang w:val="en-US"/>
        </w:rPr>
        <w:t>Manzhou</w:t>
      </w:r>
      <w:proofErr w:type="spellEnd"/>
      <w:r w:rsidR="006E6D03" w:rsidRPr="00202FC5">
        <w:rPr>
          <w:i/>
          <w:lang w:val="en-US"/>
        </w:rPr>
        <w:t xml:space="preserve"> Dang</w:t>
      </w:r>
      <w:r w:rsidR="006E6D03">
        <w:rPr>
          <w:lang w:val="en-US"/>
        </w:rPr>
        <w:t xml:space="preserve"> </w:t>
      </w:r>
      <w:r>
        <w:rPr>
          <w:lang w:val="en-US"/>
        </w:rPr>
        <w:t xml:space="preserve">we learn that, when a Mongol delegation came to the Manchu court, </w:t>
      </w:r>
      <w:r w:rsidR="00305C61">
        <w:rPr>
          <w:lang w:val="en-US"/>
        </w:rPr>
        <w:t xml:space="preserve">its </w:t>
      </w:r>
      <w:r>
        <w:rPr>
          <w:lang w:val="en-US"/>
        </w:rPr>
        <w:t xml:space="preserve">members would bring presents, usually horses, but also camels, furs, saddles, bridle parts, armament and other goods. </w:t>
      </w:r>
      <w:r w:rsidR="00827405">
        <w:rPr>
          <w:lang w:val="en-US"/>
        </w:rPr>
        <w:t>It needs to be stressed that t</w:t>
      </w:r>
      <w:r>
        <w:rPr>
          <w:lang w:val="en-US"/>
        </w:rPr>
        <w:t xml:space="preserve">hese gifts were </w:t>
      </w:r>
      <w:r w:rsidR="00827405">
        <w:rPr>
          <w:lang w:val="en-US"/>
        </w:rPr>
        <w:t xml:space="preserve">recorded in detail </w:t>
      </w:r>
      <w:r w:rsidR="00305C61">
        <w:rPr>
          <w:lang w:val="en-US"/>
        </w:rPr>
        <w:t xml:space="preserve">by stating </w:t>
      </w:r>
      <w:r w:rsidR="00827405">
        <w:rPr>
          <w:lang w:val="en-US"/>
        </w:rPr>
        <w:t xml:space="preserve">who had presented what, </w:t>
      </w:r>
      <w:r>
        <w:rPr>
          <w:lang w:val="en-US"/>
        </w:rPr>
        <w:t>giving the personal names and titles o</w:t>
      </w:r>
      <w:r w:rsidR="00484D70">
        <w:rPr>
          <w:lang w:val="en-US"/>
        </w:rPr>
        <w:t>f the donors and stating the political entity</w:t>
      </w:r>
      <w:r>
        <w:rPr>
          <w:lang w:val="en-US"/>
        </w:rPr>
        <w:t xml:space="preserve"> </w:t>
      </w:r>
      <w:r w:rsidR="00484D70">
        <w:rPr>
          <w:lang w:val="en-US"/>
        </w:rPr>
        <w:t xml:space="preserve">(in Mongol </w:t>
      </w:r>
      <w:r w:rsidR="00484D70" w:rsidRPr="00273CD0">
        <w:rPr>
          <w:i/>
          <w:lang w:val="en-US"/>
        </w:rPr>
        <w:t>ulus</w:t>
      </w:r>
      <w:r w:rsidR="00484D70">
        <w:rPr>
          <w:iCs/>
          <w:lang w:val="en-US"/>
        </w:rPr>
        <w:t>)</w:t>
      </w:r>
      <w:r w:rsidR="00484D70">
        <w:rPr>
          <w:lang w:val="en-US"/>
        </w:rPr>
        <w:t xml:space="preserve"> </w:t>
      </w:r>
      <w:r>
        <w:rPr>
          <w:lang w:val="en-US"/>
        </w:rPr>
        <w:t>they belonged to or the name of the personality they were affiliated with.</w:t>
      </w:r>
      <w:r w:rsidR="003A48C1">
        <w:rPr>
          <w:rStyle w:val="Endnotenzeichen"/>
          <w:lang w:val="en-US"/>
        </w:rPr>
        <w:endnoteReference w:id="14"/>
      </w:r>
      <w:r>
        <w:rPr>
          <w:lang w:val="en-US"/>
        </w:rPr>
        <w:t xml:space="preserve"> Interestingly, usually not all gifts were accepted, but some were immediately returned</w:t>
      </w:r>
      <w:r w:rsidR="003A48C1" w:rsidRPr="003A48C1">
        <w:rPr>
          <w:lang w:val="en-US"/>
        </w:rPr>
        <w:t xml:space="preserve"> </w:t>
      </w:r>
      <w:r w:rsidR="003A48C1">
        <w:rPr>
          <w:lang w:val="en-US"/>
        </w:rPr>
        <w:t>(</w:t>
      </w:r>
      <w:proofErr w:type="spellStart"/>
      <w:r w:rsidR="003A48C1" w:rsidRPr="003A48C1">
        <w:rPr>
          <w:lang w:val="en-US"/>
        </w:rPr>
        <w:t>Weiers</w:t>
      </w:r>
      <w:proofErr w:type="spellEnd"/>
      <w:r w:rsidR="003A48C1">
        <w:rPr>
          <w:lang w:val="en-US"/>
        </w:rPr>
        <w:t xml:space="preserve"> 1979: </w:t>
      </w:r>
      <w:r w:rsidR="003A48C1" w:rsidRPr="003A48C1">
        <w:rPr>
          <w:lang w:val="en-US"/>
        </w:rPr>
        <w:t>138</w:t>
      </w:r>
      <w:r w:rsidR="003A48C1">
        <w:rPr>
          <w:lang w:val="en-US"/>
        </w:rPr>
        <w:t>, 1987:</w:t>
      </w:r>
      <w:r w:rsidR="003A48C1" w:rsidRPr="003A48C1">
        <w:rPr>
          <w:lang w:val="en-US"/>
        </w:rPr>
        <w:t xml:space="preserve"> 110/111</w:t>
      </w:r>
      <w:r w:rsidR="003A48C1">
        <w:rPr>
          <w:lang w:val="en-US"/>
        </w:rPr>
        <w:t xml:space="preserve">; </w:t>
      </w:r>
      <w:proofErr w:type="spellStart"/>
      <w:r w:rsidR="003A48C1" w:rsidRPr="003A48C1">
        <w:rPr>
          <w:i/>
          <w:lang w:val="en-US"/>
        </w:rPr>
        <w:t>A</w:t>
      </w:r>
      <w:r w:rsidR="003A48C1" w:rsidRPr="003A48C1">
        <w:rPr>
          <w:i/>
          <w:iCs/>
          <w:lang w:val="en-US"/>
        </w:rPr>
        <w:t>rban</w:t>
      </w:r>
      <w:proofErr w:type="spellEnd"/>
      <w:r w:rsidR="003A48C1" w:rsidRPr="003A48C1">
        <w:rPr>
          <w:i/>
          <w:iCs/>
          <w:lang w:val="en-US"/>
        </w:rPr>
        <w:t xml:space="preserve"> </w:t>
      </w:r>
      <w:proofErr w:type="spellStart"/>
      <w:r w:rsidR="003A48C1" w:rsidRPr="003A48C1">
        <w:rPr>
          <w:i/>
          <w:iCs/>
          <w:lang w:val="en-US"/>
        </w:rPr>
        <w:t>dolodu</w:t>
      </w:r>
      <w:proofErr w:type="spellEnd"/>
      <w:r w:rsidR="003A48C1" w:rsidRPr="003A48C1">
        <w:rPr>
          <w:i/>
          <w:iCs/>
        </w:rPr>
        <w:t>γ</w:t>
      </w:r>
      <w:proofErr w:type="spellStart"/>
      <w:r w:rsidR="003A48C1" w:rsidRPr="003A48C1">
        <w:rPr>
          <w:i/>
          <w:iCs/>
          <w:lang w:val="en-US"/>
        </w:rPr>
        <w:t>ar</w:t>
      </w:r>
      <w:proofErr w:type="spellEnd"/>
      <w:r w:rsidR="003A48C1" w:rsidRPr="003A48C1">
        <w:rPr>
          <w:i/>
          <w:iCs/>
          <w:lang w:val="en-US"/>
        </w:rPr>
        <w:t xml:space="preserve"> </w:t>
      </w:r>
      <w:r w:rsidR="003A48C1" w:rsidRPr="003A48C1">
        <w:rPr>
          <w:i/>
          <w:lang w:val="en-US"/>
        </w:rPr>
        <w:t>j</w:t>
      </w:r>
      <w:r w:rsidR="003A48C1" w:rsidRPr="003A48C1">
        <w:rPr>
          <w:i/>
          <w:iCs/>
          <w:lang w:val="en-US"/>
        </w:rPr>
        <w:t>a</w:t>
      </w:r>
      <w:r w:rsidR="003A48C1" w:rsidRPr="003A48C1">
        <w:rPr>
          <w:i/>
          <w:iCs/>
        </w:rPr>
        <w:t>γ</w:t>
      </w:r>
      <w:r w:rsidR="003A48C1" w:rsidRPr="003A48C1">
        <w:rPr>
          <w:i/>
          <w:iCs/>
          <w:lang w:val="en-US"/>
        </w:rPr>
        <w:t>un-u</w:t>
      </w:r>
      <w:r w:rsidR="00AA365B">
        <w:rPr>
          <w:lang w:val="en-US"/>
        </w:rPr>
        <w:t xml:space="preserve"> 1997:</w:t>
      </w:r>
      <w:r w:rsidR="003A48C1" w:rsidRPr="003A48C1">
        <w:rPr>
          <w:i/>
          <w:iCs/>
          <w:lang w:val="en-US"/>
        </w:rPr>
        <w:t xml:space="preserve"> </w:t>
      </w:r>
      <w:r w:rsidR="003A48C1">
        <w:rPr>
          <w:lang w:val="en-US"/>
        </w:rPr>
        <w:t>vol. 2</w:t>
      </w:r>
      <w:r w:rsidR="003A48C1" w:rsidRPr="003A48C1">
        <w:rPr>
          <w:iCs/>
          <w:lang w:val="en-US"/>
        </w:rPr>
        <w:t xml:space="preserve">, </w:t>
      </w:r>
      <w:r w:rsidR="003A48C1">
        <w:rPr>
          <w:iCs/>
          <w:lang w:val="en-US"/>
        </w:rPr>
        <w:t xml:space="preserve">350/351; </w:t>
      </w:r>
      <w:r w:rsidR="003A48C1" w:rsidRPr="003A48C1">
        <w:rPr>
          <w:iCs/>
          <w:lang w:val="en-US"/>
        </w:rPr>
        <w:t>Di Cosmo/</w:t>
      </w:r>
      <w:proofErr w:type="spellStart"/>
      <w:r w:rsidR="003A48C1" w:rsidRPr="003A48C1">
        <w:rPr>
          <w:iCs/>
          <w:lang w:val="en-US"/>
        </w:rPr>
        <w:t>Bao</w:t>
      </w:r>
      <w:proofErr w:type="spellEnd"/>
      <w:r w:rsidR="003A48C1">
        <w:rPr>
          <w:iCs/>
          <w:lang w:val="en-US"/>
        </w:rPr>
        <w:t xml:space="preserve"> 2003:</w:t>
      </w:r>
      <w:r w:rsidR="003A48C1" w:rsidRPr="003A48C1">
        <w:rPr>
          <w:iCs/>
          <w:lang w:val="en-US"/>
        </w:rPr>
        <w:t xml:space="preserve"> 173</w:t>
      </w:r>
      <w:r w:rsidR="003A48C1">
        <w:rPr>
          <w:iCs/>
          <w:lang w:val="en-US"/>
        </w:rPr>
        <w:t>)</w:t>
      </w:r>
      <w:r>
        <w:rPr>
          <w:lang w:val="en-US"/>
        </w:rPr>
        <w:t>. When a Mongol delegation left the Manchu court</w:t>
      </w:r>
      <w:r w:rsidR="00C05C26">
        <w:rPr>
          <w:lang w:val="en-US"/>
        </w:rPr>
        <w:t>,</w:t>
      </w:r>
      <w:r>
        <w:rPr>
          <w:lang w:val="en-US"/>
        </w:rPr>
        <w:t xml:space="preserve"> its </w:t>
      </w:r>
      <w:r w:rsidR="00340C37">
        <w:rPr>
          <w:lang w:val="en-US"/>
        </w:rPr>
        <w:t>m</w:t>
      </w:r>
      <w:r>
        <w:rPr>
          <w:lang w:val="en-US"/>
        </w:rPr>
        <w:t>embers were likewise presented with gifts</w:t>
      </w:r>
      <w:r w:rsidR="008D31DA" w:rsidRPr="008D31DA">
        <w:rPr>
          <w:lang w:val="en-US"/>
        </w:rPr>
        <w:t xml:space="preserve"> </w:t>
      </w:r>
      <w:r w:rsidR="008D31DA">
        <w:rPr>
          <w:lang w:val="en-US"/>
        </w:rPr>
        <w:t>(</w:t>
      </w:r>
      <w:r w:rsidR="008D31DA" w:rsidRPr="008D31DA">
        <w:rPr>
          <w:i/>
          <w:lang w:val="en-US"/>
        </w:rPr>
        <w:t xml:space="preserve">Jiu </w:t>
      </w:r>
      <w:proofErr w:type="spellStart"/>
      <w:r w:rsidR="008D31DA" w:rsidRPr="008D31DA">
        <w:rPr>
          <w:i/>
          <w:lang w:val="en-US"/>
        </w:rPr>
        <w:t>Manzhou</w:t>
      </w:r>
      <w:proofErr w:type="spellEnd"/>
      <w:r w:rsidR="008D31DA" w:rsidRPr="008D31DA">
        <w:rPr>
          <w:i/>
          <w:lang w:val="en-US"/>
        </w:rPr>
        <w:t xml:space="preserve"> Dang</w:t>
      </w:r>
      <w:r w:rsidR="008D31DA" w:rsidRPr="008D31DA">
        <w:rPr>
          <w:lang w:val="en-US"/>
        </w:rPr>
        <w:t xml:space="preserve"> </w:t>
      </w:r>
      <w:r w:rsidR="008D31DA">
        <w:rPr>
          <w:lang w:val="en-US"/>
        </w:rPr>
        <w:t xml:space="preserve">1969: fol. 3373-3469; </w:t>
      </w:r>
      <w:r w:rsidR="008D31DA" w:rsidRPr="008D31DA">
        <w:rPr>
          <w:lang w:val="en-US"/>
        </w:rPr>
        <w:t>Gruber</w:t>
      </w:r>
      <w:r w:rsidR="008D31DA">
        <w:rPr>
          <w:lang w:val="en-US"/>
        </w:rPr>
        <w:t xml:space="preserve"> 2006:</w:t>
      </w:r>
      <w:r w:rsidR="008D31DA" w:rsidRPr="008D31DA">
        <w:rPr>
          <w:lang w:val="en-US"/>
        </w:rPr>
        <w:t xml:space="preserve"> 39-105</w:t>
      </w:r>
      <w:r w:rsidR="008D31DA">
        <w:rPr>
          <w:lang w:val="en-US"/>
        </w:rPr>
        <w:t>)</w:t>
      </w:r>
      <w:r>
        <w:rPr>
          <w:lang w:val="en-US"/>
        </w:rPr>
        <w:t xml:space="preserve">. These gifts were often </w:t>
      </w:r>
      <w:r w:rsidR="00827405">
        <w:rPr>
          <w:lang w:val="en-US"/>
        </w:rPr>
        <w:t>handed over</w:t>
      </w:r>
      <w:r>
        <w:rPr>
          <w:lang w:val="en-US"/>
        </w:rPr>
        <w:t xml:space="preserve"> on the occasion of a </w:t>
      </w:r>
      <w:r>
        <w:rPr>
          <w:lang w:val="en-US"/>
        </w:rPr>
        <w:lastRenderedPageBreak/>
        <w:t>banquet, which was given by the Manchu ruler for the departing guests</w:t>
      </w:r>
      <w:r w:rsidR="008D31DA" w:rsidRPr="008D31DA">
        <w:rPr>
          <w:lang w:val="en-US"/>
        </w:rPr>
        <w:t xml:space="preserve"> </w:t>
      </w:r>
      <w:r w:rsidR="008D31DA">
        <w:rPr>
          <w:lang w:val="en-US"/>
        </w:rPr>
        <w:t>(</w:t>
      </w:r>
      <w:r w:rsidR="008D31DA" w:rsidRPr="008D31DA">
        <w:rPr>
          <w:lang w:val="en-US"/>
        </w:rPr>
        <w:t>Gruber</w:t>
      </w:r>
      <w:r w:rsidR="008D31DA">
        <w:rPr>
          <w:lang w:val="en-US"/>
        </w:rPr>
        <w:t xml:space="preserve"> 2006: </w:t>
      </w:r>
      <w:r w:rsidR="008D31DA" w:rsidRPr="008D31DA">
        <w:rPr>
          <w:lang w:val="en-US"/>
        </w:rPr>
        <w:t>112-117</w:t>
      </w:r>
      <w:r w:rsidR="008D31DA">
        <w:rPr>
          <w:lang w:val="en-US"/>
        </w:rPr>
        <w:t xml:space="preserve">; </w:t>
      </w:r>
      <w:proofErr w:type="spellStart"/>
      <w:r w:rsidR="008D31DA" w:rsidRPr="008D31DA">
        <w:rPr>
          <w:lang w:val="en-US"/>
        </w:rPr>
        <w:t>Weiers</w:t>
      </w:r>
      <w:proofErr w:type="spellEnd"/>
      <w:r w:rsidR="008D31DA">
        <w:rPr>
          <w:lang w:val="en-US"/>
        </w:rPr>
        <w:t xml:space="preserve"> 1979:</w:t>
      </w:r>
      <w:r w:rsidR="008D31DA" w:rsidRPr="008D31DA">
        <w:rPr>
          <w:lang w:val="en-US"/>
        </w:rPr>
        <w:t xml:space="preserve"> 138</w:t>
      </w:r>
      <w:r w:rsidR="008D31DA">
        <w:rPr>
          <w:lang w:val="en-US"/>
        </w:rPr>
        <w:t>, 1983:</w:t>
      </w:r>
      <w:r w:rsidR="008D31DA" w:rsidRPr="008D31DA">
        <w:rPr>
          <w:lang w:val="en-US"/>
        </w:rPr>
        <w:t xml:space="preserve"> 414/415</w:t>
      </w:r>
      <w:r w:rsidR="008D31DA">
        <w:rPr>
          <w:lang w:val="en-US"/>
        </w:rPr>
        <w:t>)</w:t>
      </w:r>
      <w:r w:rsidRPr="008D31DA">
        <w:rPr>
          <w:lang w:val="en-US"/>
        </w:rPr>
        <w:t xml:space="preserve">. </w:t>
      </w:r>
    </w:p>
    <w:p w:rsidR="00B72B91" w:rsidRDefault="00B72B91" w:rsidP="00827405">
      <w:pPr>
        <w:jc w:val="both"/>
        <w:rPr>
          <w:lang w:val="en-US"/>
        </w:rPr>
      </w:pPr>
      <w:r>
        <w:rPr>
          <w:lang w:val="en-US"/>
        </w:rPr>
        <w:t>The exchange of gifts was a way to express one’s appreciation and respect. The facts that the sources meticulously record who had given what may indicate the economic value of the presents. At the same time, it shows that it was the origin of the object and the identity of the donor, which were important: The purpose of record keeping was not to summarize the amount of “profit” (cattle, food and drink, furs or precious stones) made upon the visit of a Mongol delegation, but it was important to state in writing the name and identity of every person, who had presented something to the court. We may thus conclude t</w:t>
      </w:r>
      <w:r w:rsidR="00827405">
        <w:rPr>
          <w:lang w:val="en-US"/>
        </w:rPr>
        <w:t xml:space="preserve">hat, by offering gifts to him, members of the </w:t>
      </w:r>
      <w:r>
        <w:rPr>
          <w:lang w:val="en-US"/>
        </w:rPr>
        <w:t xml:space="preserve">Mongol </w:t>
      </w:r>
      <w:r w:rsidR="00827405">
        <w:rPr>
          <w:lang w:val="en-US"/>
        </w:rPr>
        <w:t>elite</w:t>
      </w:r>
      <w:r>
        <w:rPr>
          <w:lang w:val="en-US"/>
        </w:rPr>
        <w:t xml:space="preserve"> established a personal bond to the Manchu ruler.</w:t>
      </w:r>
    </w:p>
    <w:p w:rsidR="00E37D2C" w:rsidRDefault="00E37D2C" w:rsidP="00F82EB1">
      <w:pPr>
        <w:rPr>
          <w:lang w:val="en-US"/>
        </w:rPr>
      </w:pPr>
    </w:p>
    <w:p w:rsidR="0091256B" w:rsidRDefault="00386367" w:rsidP="00827405">
      <w:pPr>
        <w:jc w:val="both"/>
        <w:rPr>
          <w:lang w:val="en-US"/>
        </w:rPr>
      </w:pPr>
      <w:r>
        <w:rPr>
          <w:lang w:val="en-US"/>
        </w:rPr>
        <w:t xml:space="preserve">We may assume that for the </w:t>
      </w:r>
      <w:r w:rsidR="0077580B">
        <w:rPr>
          <w:lang w:val="en-US"/>
        </w:rPr>
        <w:t xml:space="preserve">persons concerned this gift exchange was by no </w:t>
      </w:r>
      <w:r w:rsidR="00916D84">
        <w:rPr>
          <w:lang w:val="en-US"/>
        </w:rPr>
        <w:t xml:space="preserve">means </w:t>
      </w:r>
      <w:r w:rsidR="0077580B">
        <w:rPr>
          <w:lang w:val="en-US"/>
        </w:rPr>
        <w:t xml:space="preserve">arbitrary and they were well aware of certain rules for this kind of interaction. </w:t>
      </w:r>
      <w:r w:rsidR="00E37D2C">
        <w:rPr>
          <w:lang w:val="en-US"/>
        </w:rPr>
        <w:t xml:space="preserve">Visits to the court, </w:t>
      </w:r>
      <w:r w:rsidR="0077580B">
        <w:rPr>
          <w:lang w:val="en-US"/>
        </w:rPr>
        <w:t>mutual presents</w:t>
      </w:r>
      <w:r w:rsidR="00E37D2C">
        <w:rPr>
          <w:lang w:val="en-US"/>
        </w:rPr>
        <w:t xml:space="preserve"> and festive meals were part of a social and cultural practice.</w:t>
      </w:r>
      <w:r w:rsidR="00916D84">
        <w:rPr>
          <w:lang w:val="en-US"/>
        </w:rPr>
        <w:t xml:space="preserve"> </w:t>
      </w:r>
      <w:r w:rsidR="009251F9">
        <w:rPr>
          <w:lang w:val="en-US"/>
        </w:rPr>
        <w:t>A first attempt to formalize the modalities of gift exch</w:t>
      </w:r>
      <w:r w:rsidR="00F13FEE">
        <w:rPr>
          <w:lang w:val="en-US"/>
        </w:rPr>
        <w:t xml:space="preserve">ange dates from 1637, when </w:t>
      </w:r>
      <w:r w:rsidR="0091256B" w:rsidRPr="0091256B">
        <w:rPr>
          <w:lang w:val="en-US"/>
        </w:rPr>
        <w:t>upon the request of the emperor</w:t>
      </w:r>
      <w:r w:rsidR="0091256B">
        <w:rPr>
          <w:lang w:val="en-US"/>
        </w:rPr>
        <w:t>,</w:t>
      </w:r>
      <w:r w:rsidR="0091256B" w:rsidRPr="0091256B">
        <w:rPr>
          <w:lang w:val="en-US"/>
        </w:rPr>
        <w:t xml:space="preserve"> </w:t>
      </w:r>
      <w:r w:rsidR="009251F9">
        <w:rPr>
          <w:lang w:val="en-US"/>
        </w:rPr>
        <w:t xml:space="preserve">the </w:t>
      </w:r>
      <w:proofErr w:type="spellStart"/>
      <w:r w:rsidR="009251F9">
        <w:rPr>
          <w:lang w:val="en-US"/>
        </w:rPr>
        <w:t>Lifanyuan</w:t>
      </w:r>
      <w:proofErr w:type="spellEnd"/>
      <w:r w:rsidR="009251F9">
        <w:rPr>
          <w:lang w:val="en-US"/>
        </w:rPr>
        <w:t xml:space="preserve"> establish</w:t>
      </w:r>
      <w:r w:rsidR="0091256B">
        <w:rPr>
          <w:lang w:val="en-US"/>
        </w:rPr>
        <w:t>ed</w:t>
      </w:r>
      <w:r w:rsidR="009251F9">
        <w:rPr>
          <w:lang w:val="en-US"/>
        </w:rPr>
        <w:t xml:space="preserve"> guidelines for the number and value of presents offered by members of the Mongol elite on occasions such as the </w:t>
      </w:r>
      <w:r w:rsidR="00F13FEE">
        <w:rPr>
          <w:lang w:val="en-US"/>
        </w:rPr>
        <w:t>e</w:t>
      </w:r>
      <w:r w:rsidR="009251F9">
        <w:rPr>
          <w:lang w:val="en-US"/>
        </w:rPr>
        <w:t>mperor’s birthday</w:t>
      </w:r>
      <w:r w:rsidR="0091256B">
        <w:rPr>
          <w:lang w:val="en-US"/>
        </w:rPr>
        <w:t xml:space="preserve">, </w:t>
      </w:r>
      <w:r w:rsidR="009251F9">
        <w:rPr>
          <w:lang w:val="en-US"/>
        </w:rPr>
        <w:t>the New Year celebration</w:t>
      </w:r>
      <w:r w:rsidR="009A241C">
        <w:rPr>
          <w:lang w:val="en-US"/>
        </w:rPr>
        <w:t xml:space="preserve"> and </w:t>
      </w:r>
      <w:r w:rsidR="009A241C" w:rsidRPr="009A241C">
        <w:rPr>
          <w:lang w:val="en-US"/>
        </w:rPr>
        <w:t>imperial weddings</w:t>
      </w:r>
      <w:r w:rsidR="009251F9">
        <w:rPr>
          <w:lang w:val="en-US"/>
        </w:rPr>
        <w:t>.</w:t>
      </w:r>
      <w:r w:rsidR="0091256B">
        <w:rPr>
          <w:rStyle w:val="Endnotenzeichen"/>
          <w:lang w:val="en-US"/>
        </w:rPr>
        <w:endnoteReference w:id="15"/>
      </w:r>
      <w:r w:rsidR="00D541A7">
        <w:rPr>
          <w:lang w:val="en-US"/>
        </w:rPr>
        <w:t xml:space="preserve"> </w:t>
      </w:r>
    </w:p>
    <w:p w:rsidR="0091256B" w:rsidRDefault="0091256B" w:rsidP="00827405">
      <w:pPr>
        <w:jc w:val="both"/>
        <w:rPr>
          <w:lang w:val="en-US"/>
        </w:rPr>
      </w:pPr>
    </w:p>
    <w:p w:rsidR="0091256B" w:rsidRPr="0091256B" w:rsidRDefault="0091256B" w:rsidP="0091256B">
      <w:pPr>
        <w:ind w:left="708"/>
        <w:jc w:val="both"/>
        <w:rPr>
          <w:lang w:val="en-US"/>
        </w:rPr>
      </w:pPr>
      <w:r>
        <w:rPr>
          <w:lang w:val="en-US"/>
        </w:rPr>
        <w:t xml:space="preserve">Order of the Holy </w:t>
      </w:r>
      <w:proofErr w:type="spellStart"/>
      <w:r>
        <w:rPr>
          <w:lang w:val="en-US"/>
        </w:rPr>
        <w:t>Qaγ</w:t>
      </w:r>
      <w:r w:rsidRPr="0091256B">
        <w:rPr>
          <w:lang w:val="en-US"/>
        </w:rPr>
        <w:t>an</w:t>
      </w:r>
      <w:proofErr w:type="spellEnd"/>
      <w:r w:rsidRPr="0091256B">
        <w:rPr>
          <w:lang w:val="en-US"/>
        </w:rPr>
        <w:t>, who brings peace and is the one, who shows great mercy</w:t>
      </w:r>
      <w:r w:rsidR="00C02B38">
        <w:rPr>
          <w:lang w:val="en-US"/>
        </w:rPr>
        <w:t>.</w:t>
      </w:r>
      <w:r w:rsidRPr="0091256B">
        <w:rPr>
          <w:lang w:val="en-US"/>
        </w:rPr>
        <w:t xml:space="preserve"> </w:t>
      </w:r>
      <w:r w:rsidR="00C02B38">
        <w:rPr>
          <w:lang w:val="en-US"/>
        </w:rPr>
        <w:t>W</w:t>
      </w:r>
      <w:r w:rsidRPr="0091256B">
        <w:rPr>
          <w:lang w:val="en-US"/>
        </w:rPr>
        <w:t xml:space="preserve">e </w:t>
      </w:r>
      <w:r>
        <w:rPr>
          <w:lang w:val="en-US"/>
        </w:rPr>
        <w:t>specified the amount</w:t>
      </w:r>
      <w:r w:rsidRPr="0091256B">
        <w:rPr>
          <w:lang w:val="en-US"/>
        </w:rPr>
        <w:t xml:space="preserve"> </w:t>
      </w:r>
      <w:r w:rsidR="00C02B38">
        <w:rPr>
          <w:lang w:val="en-US"/>
        </w:rPr>
        <w:t>of presents to be delivered</w:t>
      </w:r>
      <w:r>
        <w:rPr>
          <w:lang w:val="en-US"/>
        </w:rPr>
        <w:t xml:space="preserve"> </w:t>
      </w:r>
      <w:r w:rsidR="00C02B38" w:rsidRPr="00C02B38">
        <w:rPr>
          <w:lang w:val="en-US"/>
        </w:rPr>
        <w:t xml:space="preserve">on occasions such as the birthday of the long-living Holy </w:t>
      </w:r>
      <w:proofErr w:type="spellStart"/>
      <w:r w:rsidR="00C02B38" w:rsidRPr="00C02B38">
        <w:rPr>
          <w:lang w:val="en-US"/>
        </w:rPr>
        <w:t>Qaγan</w:t>
      </w:r>
      <w:proofErr w:type="spellEnd"/>
      <w:r w:rsidR="00C02B38" w:rsidRPr="00C02B38">
        <w:rPr>
          <w:lang w:val="en-US"/>
        </w:rPr>
        <w:t xml:space="preserve">, the New Year celebration and in cases of great happiness </w:t>
      </w:r>
      <w:r w:rsidRPr="0091256B">
        <w:rPr>
          <w:lang w:val="en-US"/>
        </w:rPr>
        <w:t xml:space="preserve">and [the following] has been established </w:t>
      </w:r>
      <w:r>
        <w:rPr>
          <w:lang w:val="en-US"/>
        </w:rPr>
        <w:t xml:space="preserve">by </w:t>
      </w:r>
      <w:r w:rsidRPr="0091256B">
        <w:rPr>
          <w:lang w:val="en-US"/>
        </w:rPr>
        <w:t xml:space="preserve">the </w:t>
      </w:r>
      <w:proofErr w:type="spellStart"/>
      <w:r w:rsidRPr="0091256B">
        <w:rPr>
          <w:lang w:val="en-US"/>
        </w:rPr>
        <w:t>Lifanyuan</w:t>
      </w:r>
      <w:proofErr w:type="spellEnd"/>
      <w:r w:rsidRPr="0091256B">
        <w:rPr>
          <w:lang w:val="en-US"/>
        </w:rPr>
        <w:t xml:space="preserve">. </w:t>
      </w:r>
      <w:r w:rsidR="00F46CFD">
        <w:rPr>
          <w:lang w:val="en-US"/>
        </w:rPr>
        <w:t>T</w:t>
      </w:r>
      <w:r w:rsidRPr="0091256B">
        <w:rPr>
          <w:lang w:val="en-US"/>
        </w:rPr>
        <w:t xml:space="preserve">he number of presents to be delivered by Wang, </w:t>
      </w:r>
      <w:proofErr w:type="spellStart"/>
      <w:r w:rsidRPr="0091256B">
        <w:rPr>
          <w:lang w:val="en-US"/>
        </w:rPr>
        <w:t>Noyan</w:t>
      </w:r>
      <w:proofErr w:type="spellEnd"/>
      <w:r w:rsidRPr="0091256B">
        <w:rPr>
          <w:lang w:val="en-US"/>
        </w:rPr>
        <w:t xml:space="preserve"> and </w:t>
      </w:r>
      <w:proofErr w:type="spellStart"/>
      <w:r w:rsidRPr="0091256B">
        <w:rPr>
          <w:lang w:val="en-US"/>
        </w:rPr>
        <w:t>Taiji</w:t>
      </w:r>
      <w:proofErr w:type="spellEnd"/>
      <w:r w:rsidR="009A241C">
        <w:rPr>
          <w:rStyle w:val="Endnotenzeichen"/>
          <w:lang w:val="en-US"/>
        </w:rPr>
        <w:endnoteReference w:id="16"/>
      </w:r>
      <w:r w:rsidRPr="0091256B">
        <w:rPr>
          <w:lang w:val="en-US"/>
        </w:rPr>
        <w:t xml:space="preserve"> of the </w:t>
      </w:r>
      <w:r w:rsidR="00EB0997">
        <w:rPr>
          <w:lang w:val="en-US"/>
        </w:rPr>
        <w:t>polities</w:t>
      </w:r>
      <w:r w:rsidR="007155DC">
        <w:rPr>
          <w:lang w:val="en-US"/>
        </w:rPr>
        <w:t xml:space="preserve"> on the outside</w:t>
      </w:r>
      <w:r w:rsidR="00F46CFD" w:rsidRPr="00F46CFD">
        <w:rPr>
          <w:lang w:val="en-US"/>
        </w:rPr>
        <w:t xml:space="preserve"> on the occasion of the birthday of the long-living Holy </w:t>
      </w:r>
      <w:proofErr w:type="spellStart"/>
      <w:r w:rsidR="00F46CFD" w:rsidRPr="00F46CFD">
        <w:rPr>
          <w:lang w:val="en-US"/>
        </w:rPr>
        <w:t>Qaγan</w:t>
      </w:r>
      <w:proofErr w:type="spellEnd"/>
      <w:r w:rsidR="007155DC">
        <w:rPr>
          <w:lang w:val="en-US"/>
        </w:rPr>
        <w:t xml:space="preserve"> </w:t>
      </w:r>
      <w:r w:rsidR="00F46CFD">
        <w:rPr>
          <w:lang w:val="en-US"/>
        </w:rPr>
        <w:t xml:space="preserve">for each banner </w:t>
      </w:r>
      <w:r w:rsidR="007155DC">
        <w:rPr>
          <w:lang w:val="en-US"/>
        </w:rPr>
        <w:t>[amounts to]</w:t>
      </w:r>
      <w:r w:rsidR="007155DC" w:rsidRPr="007155DC">
        <w:rPr>
          <w:lang w:val="en-US"/>
        </w:rPr>
        <w:t xml:space="preserve"> </w:t>
      </w:r>
      <w:r w:rsidRPr="0091256B">
        <w:rPr>
          <w:lang w:val="en-US"/>
        </w:rPr>
        <w:t xml:space="preserve">four horses </w:t>
      </w:r>
      <w:r>
        <w:rPr>
          <w:lang w:val="en-US"/>
        </w:rPr>
        <w:t xml:space="preserve">to the Holy </w:t>
      </w:r>
      <w:proofErr w:type="spellStart"/>
      <w:r>
        <w:rPr>
          <w:lang w:val="en-US"/>
        </w:rPr>
        <w:t>Qaγ</w:t>
      </w:r>
      <w:r w:rsidRPr="0091256B">
        <w:rPr>
          <w:lang w:val="en-US"/>
        </w:rPr>
        <w:t>an</w:t>
      </w:r>
      <w:proofErr w:type="spellEnd"/>
      <w:r w:rsidRPr="0091256B">
        <w:rPr>
          <w:lang w:val="en-US"/>
        </w:rPr>
        <w:t xml:space="preserve">, two horses </w:t>
      </w:r>
      <w:r>
        <w:rPr>
          <w:lang w:val="en-US"/>
        </w:rPr>
        <w:t>to the e</w:t>
      </w:r>
      <w:r w:rsidRPr="0091256B">
        <w:rPr>
          <w:lang w:val="en-US"/>
        </w:rPr>
        <w:t xml:space="preserve">mpress and – as food – one cow and eight sheep; on the occasion of great happiness the Wang, </w:t>
      </w:r>
      <w:proofErr w:type="spellStart"/>
      <w:r w:rsidRPr="0091256B">
        <w:rPr>
          <w:lang w:val="en-US"/>
        </w:rPr>
        <w:t>Noyan</w:t>
      </w:r>
      <w:proofErr w:type="spellEnd"/>
      <w:r w:rsidRPr="0091256B">
        <w:rPr>
          <w:lang w:val="en-US"/>
        </w:rPr>
        <w:t xml:space="preserve"> and </w:t>
      </w:r>
      <w:proofErr w:type="spellStart"/>
      <w:r w:rsidRPr="0091256B">
        <w:rPr>
          <w:lang w:val="en-US"/>
        </w:rPr>
        <w:t>Taiji</w:t>
      </w:r>
      <w:proofErr w:type="spellEnd"/>
      <w:r w:rsidRPr="0091256B">
        <w:rPr>
          <w:lang w:val="en-US"/>
        </w:rPr>
        <w:t xml:space="preserve"> of the </w:t>
      </w:r>
      <w:r w:rsidR="00EB0997">
        <w:rPr>
          <w:lang w:val="en-US"/>
        </w:rPr>
        <w:t>polities on the o</w:t>
      </w:r>
      <w:r w:rsidRPr="0091256B">
        <w:rPr>
          <w:lang w:val="en-US"/>
        </w:rPr>
        <w:t xml:space="preserve">utside </w:t>
      </w:r>
      <w:r w:rsidR="00C87A5C">
        <w:rPr>
          <w:lang w:val="en-US"/>
        </w:rPr>
        <w:t xml:space="preserve">each </w:t>
      </w:r>
      <w:r w:rsidRPr="0091256B">
        <w:rPr>
          <w:lang w:val="en-US"/>
        </w:rPr>
        <w:t xml:space="preserve">will deliver two horses to the Holy </w:t>
      </w:r>
      <w:proofErr w:type="spellStart"/>
      <w:r w:rsidRPr="0091256B">
        <w:rPr>
          <w:lang w:val="en-US"/>
        </w:rPr>
        <w:t>Qa</w:t>
      </w:r>
      <w:r>
        <w:rPr>
          <w:lang w:val="en-US"/>
        </w:rPr>
        <w:t>γ</w:t>
      </w:r>
      <w:r w:rsidRPr="0091256B">
        <w:rPr>
          <w:lang w:val="en-US"/>
        </w:rPr>
        <w:t>an</w:t>
      </w:r>
      <w:proofErr w:type="spellEnd"/>
      <w:r w:rsidRPr="0091256B">
        <w:rPr>
          <w:lang w:val="en-US"/>
        </w:rPr>
        <w:t xml:space="preserve"> and one horse to the empress as presents and – as food – one cow and eight sheep; on the occasion of the New </w:t>
      </w:r>
      <w:r>
        <w:rPr>
          <w:lang w:val="en-US"/>
        </w:rPr>
        <w:t xml:space="preserve">Year </w:t>
      </w:r>
      <w:r w:rsidR="00F46CFD">
        <w:rPr>
          <w:lang w:val="en-US"/>
        </w:rPr>
        <w:t xml:space="preserve">celebration </w:t>
      </w:r>
      <w:r>
        <w:rPr>
          <w:lang w:val="en-US"/>
        </w:rPr>
        <w:t xml:space="preserve">four horses to the Holy </w:t>
      </w:r>
      <w:proofErr w:type="spellStart"/>
      <w:r>
        <w:rPr>
          <w:lang w:val="en-US"/>
        </w:rPr>
        <w:t>Qaγ</w:t>
      </w:r>
      <w:r w:rsidRPr="0091256B">
        <w:rPr>
          <w:lang w:val="en-US"/>
        </w:rPr>
        <w:t>an</w:t>
      </w:r>
      <w:proofErr w:type="spellEnd"/>
      <w:r w:rsidRPr="0091256B">
        <w:rPr>
          <w:lang w:val="en-US"/>
        </w:rPr>
        <w:t>, two horses to the empress and –</w:t>
      </w:r>
      <w:r w:rsidR="00C87A5C">
        <w:rPr>
          <w:lang w:val="en-US"/>
        </w:rPr>
        <w:t xml:space="preserve"> </w:t>
      </w:r>
      <w:r w:rsidRPr="0091256B">
        <w:rPr>
          <w:lang w:val="en-US"/>
        </w:rPr>
        <w:t>as food – one cow and eight sheep.</w:t>
      </w:r>
      <w:r w:rsidR="009A241C">
        <w:rPr>
          <w:lang w:val="en-US"/>
        </w:rPr>
        <w:t xml:space="preserve"> </w:t>
      </w:r>
      <w:r w:rsidRPr="0091256B">
        <w:rPr>
          <w:lang w:val="en-US"/>
        </w:rPr>
        <w:t>On the 30</w:t>
      </w:r>
      <w:r w:rsidRPr="0091256B">
        <w:rPr>
          <w:vertAlign w:val="superscript"/>
          <w:lang w:val="en-US"/>
        </w:rPr>
        <w:t>th</w:t>
      </w:r>
      <w:r w:rsidRPr="0091256B">
        <w:rPr>
          <w:lang w:val="en-US"/>
        </w:rPr>
        <w:t xml:space="preserve"> day of the first winter month of the second year of </w:t>
      </w:r>
      <w:proofErr w:type="spellStart"/>
      <w:r w:rsidRPr="0091256B">
        <w:rPr>
          <w:lang w:val="en-US"/>
        </w:rPr>
        <w:t>Degedü</w:t>
      </w:r>
      <w:proofErr w:type="spellEnd"/>
      <w:r w:rsidRPr="0091256B">
        <w:rPr>
          <w:lang w:val="en-US"/>
        </w:rPr>
        <w:t xml:space="preserve"> </w:t>
      </w:r>
      <w:proofErr w:type="spellStart"/>
      <w:r w:rsidRPr="0091256B">
        <w:rPr>
          <w:lang w:val="en-US"/>
        </w:rPr>
        <w:t>Erdemtü</w:t>
      </w:r>
      <w:proofErr w:type="spellEnd"/>
      <w:r w:rsidRPr="0091256B">
        <w:rPr>
          <w:lang w:val="en-US"/>
        </w:rPr>
        <w:t xml:space="preserve"> (December 15, 1637).</w:t>
      </w:r>
    </w:p>
    <w:p w:rsidR="0091256B" w:rsidRDefault="0091256B" w:rsidP="00827405">
      <w:pPr>
        <w:jc w:val="both"/>
        <w:rPr>
          <w:lang w:val="en-US"/>
        </w:rPr>
      </w:pPr>
    </w:p>
    <w:p w:rsidR="0091256B" w:rsidRDefault="0091256B" w:rsidP="00827405">
      <w:pPr>
        <w:jc w:val="both"/>
        <w:rPr>
          <w:lang w:val="en-US"/>
        </w:rPr>
      </w:pPr>
    </w:p>
    <w:p w:rsidR="00F82EB1" w:rsidRDefault="00AB6684" w:rsidP="00827405">
      <w:pPr>
        <w:jc w:val="both"/>
        <w:rPr>
          <w:lang w:val="en-US"/>
        </w:rPr>
      </w:pPr>
      <w:r>
        <w:rPr>
          <w:lang w:val="en-US"/>
        </w:rPr>
        <w:t>A</w:t>
      </w:r>
      <w:r w:rsidR="00773C10">
        <w:rPr>
          <w:lang w:val="en-US"/>
        </w:rPr>
        <w:t xml:space="preserve">rchival material shows that </w:t>
      </w:r>
      <w:r>
        <w:rPr>
          <w:lang w:val="en-US"/>
        </w:rPr>
        <w:t xml:space="preserve">this trend </w:t>
      </w:r>
      <w:r w:rsidR="00C05C26">
        <w:rPr>
          <w:lang w:val="en-US"/>
        </w:rPr>
        <w:t xml:space="preserve">towards standardization </w:t>
      </w:r>
      <w:r>
        <w:rPr>
          <w:lang w:val="en-US"/>
        </w:rPr>
        <w:t xml:space="preserve">was reinforced </w:t>
      </w:r>
      <w:r w:rsidR="00773C10">
        <w:rPr>
          <w:lang w:val="en-US"/>
        </w:rPr>
        <w:t xml:space="preserve">during the Shunzhi period </w:t>
      </w:r>
      <w:r w:rsidR="00A47506">
        <w:rPr>
          <w:lang w:val="en-US"/>
        </w:rPr>
        <w:t>(1644-1661)</w:t>
      </w:r>
      <w:r>
        <w:rPr>
          <w:lang w:val="en-US"/>
        </w:rPr>
        <w:t xml:space="preserve">, when </w:t>
      </w:r>
      <w:r w:rsidR="00C63868">
        <w:rPr>
          <w:lang w:val="en-US"/>
        </w:rPr>
        <w:t xml:space="preserve">the </w:t>
      </w:r>
      <w:proofErr w:type="spellStart"/>
      <w:r w:rsidR="00C63868">
        <w:rPr>
          <w:lang w:val="en-US"/>
        </w:rPr>
        <w:t>Lifanyuan</w:t>
      </w:r>
      <w:proofErr w:type="spellEnd"/>
      <w:r w:rsidR="00C63868">
        <w:rPr>
          <w:lang w:val="en-US"/>
        </w:rPr>
        <w:t xml:space="preserve"> </w:t>
      </w:r>
      <w:r>
        <w:rPr>
          <w:lang w:val="en-US"/>
        </w:rPr>
        <w:t>issued</w:t>
      </w:r>
      <w:r w:rsidR="00773C10">
        <w:rPr>
          <w:lang w:val="en-US"/>
        </w:rPr>
        <w:t xml:space="preserve"> regulations regarding the frequency of </w:t>
      </w:r>
      <w:r w:rsidR="00A67499">
        <w:rPr>
          <w:lang w:val="en-US"/>
        </w:rPr>
        <w:t>visits</w:t>
      </w:r>
      <w:r>
        <w:rPr>
          <w:lang w:val="en-US"/>
        </w:rPr>
        <w:t xml:space="preserve"> to the court</w:t>
      </w:r>
      <w:r w:rsidR="00D541A7">
        <w:rPr>
          <w:lang w:val="en-US"/>
        </w:rPr>
        <w:t>.</w:t>
      </w:r>
      <w:r w:rsidR="00C270F5">
        <w:rPr>
          <w:lang w:val="en-US"/>
        </w:rPr>
        <w:t xml:space="preserve"> </w:t>
      </w:r>
      <w:r w:rsidR="00D541A7">
        <w:rPr>
          <w:lang w:val="en-US"/>
        </w:rPr>
        <w:t xml:space="preserve">Moreover, </w:t>
      </w:r>
      <w:r w:rsidR="004D61FE">
        <w:rPr>
          <w:lang w:val="en-US"/>
        </w:rPr>
        <w:t xml:space="preserve">at that time </w:t>
      </w:r>
      <w:r w:rsidR="00D541A7">
        <w:rPr>
          <w:lang w:val="en-US"/>
        </w:rPr>
        <w:t xml:space="preserve">strict guidelines were given </w:t>
      </w:r>
      <w:r w:rsidR="00F24898">
        <w:rPr>
          <w:lang w:val="en-US"/>
        </w:rPr>
        <w:t xml:space="preserve">what sort of </w:t>
      </w:r>
      <w:r w:rsidR="00773C10">
        <w:rPr>
          <w:lang w:val="en-US"/>
        </w:rPr>
        <w:t xml:space="preserve">gifts </w:t>
      </w:r>
      <w:r w:rsidR="00D541A7">
        <w:rPr>
          <w:lang w:val="en-US"/>
        </w:rPr>
        <w:t>individual Mongol noblemen</w:t>
      </w:r>
      <w:r w:rsidR="00773C10">
        <w:rPr>
          <w:lang w:val="en-US"/>
        </w:rPr>
        <w:t xml:space="preserve"> would </w:t>
      </w:r>
      <w:r w:rsidR="00773C10" w:rsidRPr="004D61FE">
        <w:rPr>
          <w:i/>
          <w:iCs/>
          <w:lang w:val="en-US"/>
        </w:rPr>
        <w:t>receive</w:t>
      </w:r>
      <w:r w:rsidR="00773C10">
        <w:rPr>
          <w:lang w:val="en-US"/>
        </w:rPr>
        <w:t xml:space="preserve"> on these occasions</w:t>
      </w:r>
      <w:r w:rsidR="008D31DA" w:rsidRPr="008D31DA">
        <w:rPr>
          <w:i/>
          <w:lang w:val="en-US"/>
        </w:rPr>
        <w:t xml:space="preserve"> </w:t>
      </w:r>
      <w:r w:rsidR="00936010">
        <w:rPr>
          <w:iCs/>
          <w:lang w:val="en-US"/>
        </w:rPr>
        <w:t>(</w:t>
      </w:r>
      <w:r w:rsidR="008D31DA" w:rsidRPr="008D31DA">
        <w:rPr>
          <w:i/>
          <w:lang w:val="en-US"/>
        </w:rPr>
        <w:t xml:space="preserve">Qing </w:t>
      </w:r>
      <w:proofErr w:type="spellStart"/>
      <w:r w:rsidR="008D31DA" w:rsidRPr="008D31DA">
        <w:rPr>
          <w:i/>
          <w:lang w:val="en-US"/>
        </w:rPr>
        <w:t>chao</w:t>
      </w:r>
      <w:proofErr w:type="spellEnd"/>
      <w:r w:rsidR="008D31DA" w:rsidRPr="008D31DA">
        <w:rPr>
          <w:i/>
          <w:lang w:val="en-US"/>
        </w:rPr>
        <w:t xml:space="preserve"> </w:t>
      </w:r>
      <w:proofErr w:type="spellStart"/>
      <w:r w:rsidR="008D31DA" w:rsidRPr="008D31DA">
        <w:rPr>
          <w:i/>
          <w:lang w:val="en-US"/>
        </w:rPr>
        <w:t>qianqi</w:t>
      </w:r>
      <w:proofErr w:type="spellEnd"/>
      <w:r w:rsidR="008D31DA" w:rsidRPr="008D31DA">
        <w:rPr>
          <w:i/>
          <w:lang w:val="en-US"/>
        </w:rPr>
        <w:t xml:space="preserve"> </w:t>
      </w:r>
      <w:proofErr w:type="spellStart"/>
      <w:r w:rsidR="008D31DA" w:rsidRPr="008D31DA">
        <w:rPr>
          <w:i/>
          <w:lang w:val="en-US"/>
        </w:rPr>
        <w:t>Lifanyuan</w:t>
      </w:r>
      <w:proofErr w:type="spellEnd"/>
      <w:r w:rsidR="00936010">
        <w:rPr>
          <w:iCs/>
          <w:lang w:val="en-US"/>
        </w:rPr>
        <w:t xml:space="preserve"> 2010: vol. 1,</w:t>
      </w:r>
      <w:r w:rsidR="008D31DA" w:rsidRPr="008D31DA">
        <w:rPr>
          <w:lang w:val="en-US"/>
        </w:rPr>
        <w:t xml:space="preserve"> nos. 50, 80, 92 and 105</w:t>
      </w:r>
      <w:r w:rsidR="00936010">
        <w:rPr>
          <w:lang w:val="en-US"/>
        </w:rPr>
        <w:t>;</w:t>
      </w:r>
      <w:r w:rsidR="008D31DA" w:rsidRPr="008D31DA">
        <w:rPr>
          <w:lang w:val="en-US"/>
        </w:rPr>
        <w:t xml:space="preserve"> Song</w:t>
      </w:r>
      <w:r w:rsidR="00936010">
        <w:rPr>
          <w:lang w:val="en-US"/>
        </w:rPr>
        <w:t xml:space="preserve"> forthcoming).</w:t>
      </w:r>
      <w:r w:rsidR="00C270F5" w:rsidRPr="00C270F5">
        <w:rPr>
          <w:lang w:val="en-US"/>
        </w:rPr>
        <w:t xml:space="preserve"> </w:t>
      </w:r>
      <w:r w:rsidR="00C270F5">
        <w:rPr>
          <w:lang w:val="en-US"/>
        </w:rPr>
        <w:t xml:space="preserve">In parallel with standardizing the modalities of the visits their political significance was also re-evaluated. From that time on, </w:t>
      </w:r>
      <w:r w:rsidR="004119EA">
        <w:rPr>
          <w:lang w:val="en-US"/>
        </w:rPr>
        <w:t>return presents given to Mongols were denoted as “rewards”</w:t>
      </w:r>
      <w:r w:rsidR="00C270F5">
        <w:rPr>
          <w:lang w:val="en-US"/>
        </w:rPr>
        <w:t>.</w:t>
      </w:r>
      <w:r w:rsidR="004119EA">
        <w:rPr>
          <w:lang w:val="en-US"/>
        </w:rPr>
        <w:t xml:space="preserve"> I will take this </w:t>
      </w:r>
      <w:r w:rsidR="00C270F5">
        <w:rPr>
          <w:lang w:val="en-US"/>
        </w:rPr>
        <w:t xml:space="preserve">shift of emphasis </w:t>
      </w:r>
      <w:r w:rsidR="004119EA">
        <w:rPr>
          <w:lang w:val="en-US"/>
        </w:rPr>
        <w:t>as a reason to take a closer look at the</w:t>
      </w:r>
      <w:r w:rsidR="00C270F5">
        <w:rPr>
          <w:lang w:val="en-US"/>
        </w:rPr>
        <w:t xml:space="preserve"> character of these transactions and their political implications</w:t>
      </w:r>
      <w:r w:rsidR="004119EA">
        <w:rPr>
          <w:lang w:val="en-US"/>
        </w:rPr>
        <w:t>.</w:t>
      </w:r>
    </w:p>
    <w:p w:rsidR="0096302D" w:rsidRDefault="0096302D" w:rsidP="00607328">
      <w:pPr>
        <w:rPr>
          <w:lang w:val="en-US"/>
        </w:rPr>
      </w:pPr>
    </w:p>
    <w:p w:rsidR="004B484F" w:rsidRPr="00BE19E8" w:rsidRDefault="005478E1" w:rsidP="00F127A4">
      <w:pPr>
        <w:jc w:val="both"/>
        <w:rPr>
          <w:lang w:val="en-US"/>
        </w:rPr>
      </w:pPr>
      <w:r>
        <w:rPr>
          <w:lang w:val="en-US"/>
        </w:rPr>
        <w:t>The concept of patronage is closely relat</w:t>
      </w:r>
      <w:r w:rsidR="00BF2D22">
        <w:rPr>
          <w:lang w:val="en-US"/>
        </w:rPr>
        <w:t xml:space="preserve">ed to the obligatory nature of </w:t>
      </w:r>
      <w:r>
        <w:rPr>
          <w:lang w:val="en-US"/>
        </w:rPr>
        <w:t>gift exchange. Sharon Kettering</w:t>
      </w:r>
      <w:r w:rsidR="00CE0BA1">
        <w:rPr>
          <w:lang w:val="en-US"/>
        </w:rPr>
        <w:t>,</w:t>
      </w:r>
      <w:r>
        <w:rPr>
          <w:lang w:val="en-US"/>
        </w:rPr>
        <w:t xml:space="preserve"> when dev</w:t>
      </w:r>
      <w:r w:rsidR="001D195D">
        <w:rPr>
          <w:lang w:val="en-US"/>
        </w:rPr>
        <w:t>el</w:t>
      </w:r>
      <w:r>
        <w:rPr>
          <w:lang w:val="en-US"/>
        </w:rPr>
        <w:t>oping her model of political patronage ack</w:t>
      </w:r>
      <w:r w:rsidR="00BF2D22">
        <w:rPr>
          <w:lang w:val="en-US"/>
        </w:rPr>
        <w:t xml:space="preserve">nowledges that she is indebted </w:t>
      </w:r>
      <w:r>
        <w:rPr>
          <w:lang w:val="en-US"/>
        </w:rPr>
        <w:t xml:space="preserve">to Marcel </w:t>
      </w:r>
      <w:proofErr w:type="spellStart"/>
      <w:r>
        <w:rPr>
          <w:lang w:val="en-US"/>
        </w:rPr>
        <w:t>Mauss</w:t>
      </w:r>
      <w:proofErr w:type="spellEnd"/>
      <w:r>
        <w:rPr>
          <w:lang w:val="en-US"/>
        </w:rPr>
        <w:t xml:space="preserve"> and Claude Lévi-Strauss</w:t>
      </w:r>
      <w:r w:rsidR="00936010" w:rsidRPr="00936010">
        <w:rPr>
          <w:lang w:val="en-US"/>
        </w:rPr>
        <w:t xml:space="preserve"> </w:t>
      </w:r>
      <w:r w:rsidR="00936010">
        <w:rPr>
          <w:lang w:val="en-US"/>
        </w:rPr>
        <w:t>(</w:t>
      </w:r>
      <w:r w:rsidR="00936010" w:rsidRPr="00936010">
        <w:rPr>
          <w:lang w:val="en-US"/>
        </w:rPr>
        <w:t>Kettering</w:t>
      </w:r>
      <w:r w:rsidR="00936010">
        <w:rPr>
          <w:lang w:val="en-US"/>
        </w:rPr>
        <w:t xml:space="preserve"> 1992: </w:t>
      </w:r>
      <w:r w:rsidR="00936010" w:rsidRPr="00936010">
        <w:rPr>
          <w:lang w:val="en-US"/>
        </w:rPr>
        <w:t>844</w:t>
      </w:r>
      <w:r w:rsidR="00936010">
        <w:rPr>
          <w:lang w:val="en-US"/>
        </w:rPr>
        <w:t>)</w:t>
      </w:r>
      <w:r>
        <w:rPr>
          <w:lang w:val="en-US"/>
        </w:rPr>
        <w:t xml:space="preserve">. Marcel </w:t>
      </w:r>
      <w:proofErr w:type="spellStart"/>
      <w:r>
        <w:rPr>
          <w:lang w:val="en-US"/>
        </w:rPr>
        <w:t>Mauss</w:t>
      </w:r>
      <w:proofErr w:type="spellEnd"/>
      <w:r>
        <w:rPr>
          <w:lang w:val="en-US"/>
        </w:rPr>
        <w:t xml:space="preserve"> analyzed the oblig</w:t>
      </w:r>
      <w:r w:rsidR="00064E24">
        <w:rPr>
          <w:lang w:val="en-US"/>
        </w:rPr>
        <w:t>atory reciprocity of gifts, that is</w:t>
      </w:r>
      <w:r>
        <w:rPr>
          <w:lang w:val="en-US"/>
        </w:rPr>
        <w:t xml:space="preserve"> </w:t>
      </w:r>
      <w:r w:rsidR="00064E24">
        <w:rPr>
          <w:lang w:val="en-US"/>
        </w:rPr>
        <w:t xml:space="preserve">to say </w:t>
      </w:r>
      <w:r>
        <w:rPr>
          <w:lang w:val="en-US"/>
        </w:rPr>
        <w:t xml:space="preserve">the obligation to give, to receive and </w:t>
      </w:r>
      <w:r w:rsidRPr="00BE19E8">
        <w:rPr>
          <w:lang w:val="en-US"/>
        </w:rPr>
        <w:t>to reciprocate</w:t>
      </w:r>
      <w:r w:rsidR="00936010" w:rsidRPr="00BE19E8">
        <w:rPr>
          <w:lang w:val="en-US"/>
        </w:rPr>
        <w:t xml:space="preserve"> (</w:t>
      </w:r>
      <w:proofErr w:type="spellStart"/>
      <w:r w:rsidR="00936010" w:rsidRPr="00BE19E8">
        <w:rPr>
          <w:lang w:val="en-US"/>
        </w:rPr>
        <w:t>Mauss</w:t>
      </w:r>
      <w:proofErr w:type="spellEnd"/>
      <w:r w:rsidR="006D4256" w:rsidRPr="00BE19E8">
        <w:rPr>
          <w:lang w:val="en-US"/>
        </w:rPr>
        <w:t xml:space="preserve"> </w:t>
      </w:r>
      <w:r w:rsidR="00936010" w:rsidRPr="00BE19E8">
        <w:rPr>
          <w:lang w:val="en-US"/>
        </w:rPr>
        <w:t>2002: 16/17; Fournier 2006: 40)</w:t>
      </w:r>
      <w:r w:rsidRPr="00BE19E8">
        <w:rPr>
          <w:lang w:val="en-US"/>
        </w:rPr>
        <w:t xml:space="preserve">. </w:t>
      </w:r>
      <w:r w:rsidR="00474CA2" w:rsidRPr="00BE19E8">
        <w:rPr>
          <w:lang w:val="en-US"/>
        </w:rPr>
        <w:t xml:space="preserve">Even though </w:t>
      </w:r>
      <w:proofErr w:type="spellStart"/>
      <w:r w:rsidR="00474CA2" w:rsidRPr="00BE19E8">
        <w:rPr>
          <w:lang w:val="en-US"/>
        </w:rPr>
        <w:t>Mauss’s</w:t>
      </w:r>
      <w:proofErr w:type="spellEnd"/>
      <w:r w:rsidR="00474CA2" w:rsidRPr="00BE19E8">
        <w:rPr>
          <w:lang w:val="en-US"/>
        </w:rPr>
        <w:t xml:space="preserve"> work was published ninety years ago, his insights into the important role of gift exchange in </w:t>
      </w:r>
      <w:r w:rsidR="00C30270" w:rsidRPr="00BE19E8">
        <w:rPr>
          <w:lang w:val="en-US"/>
        </w:rPr>
        <w:t>establishing</w:t>
      </w:r>
      <w:r w:rsidR="00474CA2" w:rsidRPr="00BE19E8">
        <w:rPr>
          <w:lang w:val="en-US"/>
        </w:rPr>
        <w:t xml:space="preserve"> and </w:t>
      </w:r>
      <w:r w:rsidR="00C30270" w:rsidRPr="00BE19E8">
        <w:rPr>
          <w:lang w:val="en-US"/>
        </w:rPr>
        <w:t>sus</w:t>
      </w:r>
      <w:r w:rsidR="00474CA2" w:rsidRPr="00BE19E8">
        <w:rPr>
          <w:lang w:val="en-US"/>
        </w:rPr>
        <w:t xml:space="preserve">taining bonds between individuals and groups </w:t>
      </w:r>
      <w:r w:rsidR="00F453EF" w:rsidRPr="00BE19E8">
        <w:rPr>
          <w:lang w:val="en-US"/>
        </w:rPr>
        <w:t xml:space="preserve">are still central in anthropological </w:t>
      </w:r>
      <w:r w:rsidR="00F453EF" w:rsidRPr="00BE19E8">
        <w:rPr>
          <w:lang w:val="en-US"/>
        </w:rPr>
        <w:lastRenderedPageBreak/>
        <w:t>debates</w:t>
      </w:r>
      <w:r w:rsidR="005A5710" w:rsidRPr="00BE19E8">
        <w:rPr>
          <w:lang w:val="en-US"/>
        </w:rPr>
        <w:t xml:space="preserve"> to the present day </w:t>
      </w:r>
      <w:r w:rsidR="007F7633" w:rsidRPr="00BE19E8">
        <w:rPr>
          <w:lang w:val="en-US"/>
        </w:rPr>
        <w:t xml:space="preserve">(Sykes 2005) </w:t>
      </w:r>
      <w:r w:rsidR="005A5710" w:rsidRPr="00BE19E8">
        <w:rPr>
          <w:lang w:val="en-US"/>
        </w:rPr>
        <w:t xml:space="preserve">and have also </w:t>
      </w:r>
      <w:r w:rsidR="00E27ABE" w:rsidRPr="00BE19E8">
        <w:rPr>
          <w:lang w:val="en-US"/>
        </w:rPr>
        <w:t>been a source of inspiration for</w:t>
      </w:r>
      <w:r w:rsidR="005A5710" w:rsidRPr="00BE19E8">
        <w:rPr>
          <w:lang w:val="en-US"/>
        </w:rPr>
        <w:t xml:space="preserve"> other disciplines (</w:t>
      </w:r>
      <w:proofErr w:type="spellStart"/>
      <w:r w:rsidR="005A5710" w:rsidRPr="00BE19E8">
        <w:rPr>
          <w:lang w:val="en-US"/>
        </w:rPr>
        <w:t>Komter</w:t>
      </w:r>
      <w:proofErr w:type="spellEnd"/>
      <w:r w:rsidR="005A5710" w:rsidRPr="00BE19E8">
        <w:rPr>
          <w:lang w:val="en-US"/>
        </w:rPr>
        <w:t xml:space="preserve"> 1996). </w:t>
      </w:r>
      <w:r w:rsidR="000F2930" w:rsidRPr="00BE19E8">
        <w:rPr>
          <w:lang w:val="en-US"/>
        </w:rPr>
        <w:t>Gift giving has been seen as a way of expressing social solidarity (</w:t>
      </w:r>
      <w:proofErr w:type="spellStart"/>
      <w:r w:rsidR="000F2930" w:rsidRPr="00BE19E8">
        <w:rPr>
          <w:lang w:val="en-US"/>
        </w:rPr>
        <w:t>Komter</w:t>
      </w:r>
      <w:proofErr w:type="spellEnd"/>
      <w:r w:rsidR="000F2930" w:rsidRPr="00BE19E8">
        <w:rPr>
          <w:lang w:val="en-US"/>
        </w:rPr>
        <w:t xml:space="preserve"> 2005), and, because it im</w:t>
      </w:r>
      <w:r w:rsidR="00EF6FB1" w:rsidRPr="00BE19E8">
        <w:rPr>
          <w:lang w:val="en-US"/>
        </w:rPr>
        <w:t xml:space="preserve">plies </w:t>
      </w:r>
      <w:r w:rsidR="000F2930" w:rsidRPr="00BE19E8">
        <w:rPr>
          <w:lang w:val="en-US"/>
        </w:rPr>
        <w:t>obligations</w:t>
      </w:r>
      <w:r w:rsidR="00EF6FB1" w:rsidRPr="00BE19E8">
        <w:rPr>
          <w:lang w:val="en-US"/>
        </w:rPr>
        <w:t xml:space="preserve"> which are not necessarily reciprocated immediately</w:t>
      </w:r>
      <w:r w:rsidR="000F2930" w:rsidRPr="00BE19E8">
        <w:rPr>
          <w:lang w:val="en-US"/>
        </w:rPr>
        <w:t xml:space="preserve">, </w:t>
      </w:r>
      <w:r w:rsidR="00EF6FB1" w:rsidRPr="00BE19E8">
        <w:rPr>
          <w:lang w:val="en-US"/>
        </w:rPr>
        <w:t xml:space="preserve">it is a way of creating </w:t>
      </w:r>
      <w:r w:rsidR="00816D44" w:rsidRPr="00BE19E8">
        <w:rPr>
          <w:lang w:val="en-US"/>
        </w:rPr>
        <w:t xml:space="preserve">long term </w:t>
      </w:r>
      <w:r w:rsidR="00EF6FB1" w:rsidRPr="00BE19E8">
        <w:rPr>
          <w:lang w:val="en-US"/>
        </w:rPr>
        <w:t>network relationships</w:t>
      </w:r>
      <w:r w:rsidR="00ED685F" w:rsidRPr="00BE19E8">
        <w:rPr>
          <w:lang w:val="en-US"/>
        </w:rPr>
        <w:t xml:space="preserve"> based on mutual trust</w:t>
      </w:r>
      <w:r w:rsidR="00EF6FB1" w:rsidRPr="00BE19E8">
        <w:rPr>
          <w:lang w:val="en-US"/>
        </w:rPr>
        <w:t xml:space="preserve"> (</w:t>
      </w:r>
      <w:proofErr w:type="spellStart"/>
      <w:r w:rsidR="00EF6FB1" w:rsidRPr="00BE19E8">
        <w:rPr>
          <w:lang w:val="en-US"/>
        </w:rPr>
        <w:t>Caillé</w:t>
      </w:r>
      <w:proofErr w:type="spellEnd"/>
      <w:r w:rsidR="00EF6FB1" w:rsidRPr="00BE19E8">
        <w:rPr>
          <w:lang w:val="en-US"/>
        </w:rPr>
        <w:t xml:space="preserve"> </w:t>
      </w:r>
      <w:r w:rsidR="007F7633" w:rsidRPr="00BE19E8">
        <w:rPr>
          <w:lang w:val="en-US"/>
        </w:rPr>
        <w:t>2010: 183)</w:t>
      </w:r>
      <w:r w:rsidR="00C30270" w:rsidRPr="00BE19E8">
        <w:rPr>
          <w:lang w:val="en-US"/>
        </w:rPr>
        <w:t xml:space="preserve">. </w:t>
      </w:r>
      <w:r w:rsidR="00CA38EC" w:rsidRPr="00BE19E8">
        <w:rPr>
          <w:lang w:val="en-US"/>
        </w:rPr>
        <w:t xml:space="preserve">According to </w:t>
      </w:r>
      <w:proofErr w:type="spellStart"/>
      <w:r w:rsidR="00CA38EC" w:rsidRPr="00BE19E8">
        <w:rPr>
          <w:lang w:val="en-US"/>
        </w:rPr>
        <w:t>Mauss</w:t>
      </w:r>
      <w:proofErr w:type="spellEnd"/>
      <w:r w:rsidR="00CA38EC" w:rsidRPr="00BE19E8">
        <w:rPr>
          <w:lang w:val="en-US"/>
        </w:rPr>
        <w:t xml:space="preserve">, the obligation to give and receive cannot </w:t>
      </w:r>
      <w:r w:rsidR="00E27ABE" w:rsidRPr="00BE19E8">
        <w:rPr>
          <w:lang w:val="en-US"/>
        </w:rPr>
        <w:t xml:space="preserve">only </w:t>
      </w:r>
      <w:r w:rsidR="00CA38EC" w:rsidRPr="00BE19E8">
        <w:rPr>
          <w:lang w:val="en-US"/>
        </w:rPr>
        <w:t xml:space="preserve">be explained by utilitarian concerns </w:t>
      </w:r>
      <w:r w:rsidR="000F2930" w:rsidRPr="00BE19E8">
        <w:rPr>
          <w:lang w:val="en-US"/>
        </w:rPr>
        <w:t xml:space="preserve">and is not a purely economic relationship </w:t>
      </w:r>
      <w:r w:rsidR="00E27ABE" w:rsidRPr="00BE19E8">
        <w:rPr>
          <w:lang w:val="en-US"/>
        </w:rPr>
        <w:t>(Sykes 2005: 2/3)</w:t>
      </w:r>
      <w:r w:rsidR="000F2930" w:rsidRPr="00BE19E8">
        <w:rPr>
          <w:lang w:val="en-US"/>
        </w:rPr>
        <w:t>.</w:t>
      </w:r>
      <w:r w:rsidR="00E27ABE" w:rsidRPr="00BE19E8">
        <w:rPr>
          <w:lang w:val="en-US"/>
        </w:rPr>
        <w:t xml:space="preserve"> </w:t>
      </w:r>
      <w:r w:rsidR="000F2930" w:rsidRPr="00BE19E8">
        <w:rPr>
          <w:lang w:val="en-US"/>
        </w:rPr>
        <w:t>As it</w:t>
      </w:r>
      <w:r w:rsidR="00CA38EC" w:rsidRPr="00BE19E8">
        <w:rPr>
          <w:lang w:val="en-US"/>
        </w:rPr>
        <w:t xml:space="preserve"> </w:t>
      </w:r>
      <w:r w:rsidR="00905C1E" w:rsidRPr="00BE19E8">
        <w:rPr>
          <w:lang w:val="en-US"/>
        </w:rPr>
        <w:t>stands</w:t>
      </w:r>
      <w:r w:rsidR="00B135D7" w:rsidRPr="00BE19E8">
        <w:rPr>
          <w:lang w:val="en-US"/>
        </w:rPr>
        <w:t xml:space="preserve"> in</w:t>
      </w:r>
      <w:r w:rsidR="00CA38EC" w:rsidRPr="00BE19E8">
        <w:rPr>
          <w:lang w:val="en-US"/>
        </w:rPr>
        <w:t xml:space="preserve"> </w:t>
      </w:r>
      <w:r w:rsidR="00905C1E" w:rsidRPr="00BE19E8">
        <w:rPr>
          <w:lang w:val="en-US"/>
        </w:rPr>
        <w:t xml:space="preserve">stark </w:t>
      </w:r>
      <w:r w:rsidR="00CA38EC" w:rsidRPr="00BE19E8">
        <w:rPr>
          <w:lang w:val="en-US"/>
        </w:rPr>
        <w:t>contrast with market modes of transaction, it may not be su</w:t>
      </w:r>
      <w:r w:rsidR="00905C1E" w:rsidRPr="00BE19E8">
        <w:rPr>
          <w:lang w:val="en-US"/>
        </w:rPr>
        <w:t>r</w:t>
      </w:r>
      <w:r w:rsidR="00CA38EC" w:rsidRPr="00BE19E8">
        <w:rPr>
          <w:lang w:val="en-US"/>
        </w:rPr>
        <w:t xml:space="preserve">prising that </w:t>
      </w:r>
      <w:r w:rsidR="00B135D7" w:rsidRPr="00BE19E8">
        <w:rPr>
          <w:lang w:val="en-US"/>
        </w:rPr>
        <w:t xml:space="preserve">in historical research the importance of gift giving in human interaction has been </w:t>
      </w:r>
      <w:r w:rsidR="000F2930" w:rsidRPr="00BE19E8">
        <w:rPr>
          <w:lang w:val="en-US"/>
        </w:rPr>
        <w:t xml:space="preserve">particularly </w:t>
      </w:r>
      <w:r w:rsidR="00B135D7" w:rsidRPr="00BE19E8">
        <w:rPr>
          <w:lang w:val="en-US"/>
        </w:rPr>
        <w:t>emphasized for earlier periods, while there are few studies for the modern period (</w:t>
      </w:r>
      <w:proofErr w:type="spellStart"/>
      <w:r w:rsidR="00CA38EC" w:rsidRPr="00BE19E8">
        <w:rPr>
          <w:lang w:val="en-US"/>
        </w:rPr>
        <w:t>Krausman</w:t>
      </w:r>
      <w:proofErr w:type="spellEnd"/>
      <w:r w:rsidR="00CA38EC" w:rsidRPr="00BE19E8">
        <w:rPr>
          <w:lang w:val="en-US"/>
        </w:rPr>
        <w:t xml:space="preserve"> Ben-Amos</w:t>
      </w:r>
      <w:r w:rsidR="00B135D7" w:rsidRPr="00BE19E8">
        <w:rPr>
          <w:lang w:val="en-US"/>
        </w:rPr>
        <w:t xml:space="preserve"> 2008: 7/8)</w:t>
      </w:r>
      <w:r w:rsidR="00CA38EC" w:rsidRPr="00BE19E8">
        <w:rPr>
          <w:lang w:val="en-US"/>
        </w:rPr>
        <w:t xml:space="preserve">. </w:t>
      </w:r>
      <w:r w:rsidR="00E35635" w:rsidRPr="00BE19E8">
        <w:rPr>
          <w:lang w:val="en-US"/>
        </w:rPr>
        <w:t>In the political environment of the pre</w:t>
      </w:r>
      <w:r w:rsidR="00905C1E" w:rsidRPr="00BE19E8">
        <w:rPr>
          <w:lang w:val="en-US"/>
        </w:rPr>
        <w:t>-</w:t>
      </w:r>
      <w:r w:rsidR="00E35635" w:rsidRPr="00BE19E8">
        <w:rPr>
          <w:lang w:val="en-US"/>
        </w:rPr>
        <w:t>modern period, g</w:t>
      </w:r>
      <w:r w:rsidRPr="00BE19E8">
        <w:rPr>
          <w:lang w:val="en-US"/>
        </w:rPr>
        <w:t xml:space="preserve">ift exchange </w:t>
      </w:r>
      <w:r w:rsidR="00E35635" w:rsidRPr="00BE19E8">
        <w:rPr>
          <w:lang w:val="en-US"/>
        </w:rPr>
        <w:t>was a way to</w:t>
      </w:r>
      <w:r w:rsidR="00E35635">
        <w:rPr>
          <w:lang w:val="en-US"/>
        </w:rPr>
        <w:t xml:space="preserve"> </w:t>
      </w:r>
      <w:r>
        <w:rPr>
          <w:lang w:val="en-US"/>
        </w:rPr>
        <w:t xml:space="preserve">create a personal bond between two persons and “to refuse to give or receive a gift is to refuse a personal relationship, which may </w:t>
      </w:r>
      <w:r w:rsidR="003E4CD1">
        <w:rPr>
          <w:lang w:val="en-US"/>
        </w:rPr>
        <w:t>be interpreted as a hostile act</w:t>
      </w:r>
      <w:r>
        <w:rPr>
          <w:lang w:val="en-US"/>
        </w:rPr>
        <w:t>”</w:t>
      </w:r>
      <w:r w:rsidR="003E4CD1" w:rsidRPr="003E4CD1">
        <w:rPr>
          <w:lang w:val="en-US"/>
        </w:rPr>
        <w:t xml:space="preserve"> </w:t>
      </w:r>
      <w:r w:rsidR="003E4CD1">
        <w:rPr>
          <w:lang w:val="en-US"/>
        </w:rPr>
        <w:t>(</w:t>
      </w:r>
      <w:r w:rsidR="003E4CD1" w:rsidRPr="003E4CD1">
        <w:rPr>
          <w:lang w:val="en-US"/>
        </w:rPr>
        <w:t>Kettering</w:t>
      </w:r>
      <w:r w:rsidR="003E4CD1">
        <w:rPr>
          <w:lang w:val="en-US"/>
        </w:rPr>
        <w:t xml:space="preserve"> 1988: </w:t>
      </w:r>
      <w:r w:rsidR="003E4CD1" w:rsidRPr="003E4CD1">
        <w:rPr>
          <w:lang w:val="en-US"/>
        </w:rPr>
        <w:t>131/132</w:t>
      </w:r>
      <w:r w:rsidR="003E4CD1">
        <w:rPr>
          <w:lang w:val="en-US"/>
        </w:rPr>
        <w:t>).</w:t>
      </w:r>
      <w:r>
        <w:rPr>
          <w:lang w:val="en-US"/>
        </w:rPr>
        <w:t xml:space="preserve"> Moreover, the obligation to reciprocate was not openly expressed but rather masked by a language of courtesy</w:t>
      </w:r>
      <w:r w:rsidR="003E4CD1">
        <w:rPr>
          <w:lang w:val="en-US"/>
        </w:rPr>
        <w:t xml:space="preserve"> (1988:</w:t>
      </w:r>
      <w:r w:rsidR="003E4CD1" w:rsidRPr="003E4CD1">
        <w:rPr>
          <w:lang w:val="en-US"/>
        </w:rPr>
        <w:t xml:space="preserve"> 133/134</w:t>
      </w:r>
      <w:r w:rsidR="003E4CD1">
        <w:rPr>
          <w:lang w:val="en-US"/>
        </w:rPr>
        <w:t>)</w:t>
      </w:r>
      <w:r>
        <w:rPr>
          <w:lang w:val="en-US"/>
        </w:rPr>
        <w:t>. According to Sharon Kettering</w:t>
      </w:r>
      <w:r w:rsidR="003E4CD1">
        <w:rPr>
          <w:lang w:val="en-US"/>
        </w:rPr>
        <w:t>,</w:t>
      </w:r>
      <w:r>
        <w:rPr>
          <w:lang w:val="en-US"/>
        </w:rPr>
        <w:t xml:space="preserve"> “polite references to the gracious, voluntary bestowal of patronage by a benevolent superior upon a worthy inferior for his valuable service were more complimentary and a more flattering </w:t>
      </w:r>
      <w:r w:rsidRPr="00BE19E8">
        <w:rPr>
          <w:lang w:val="en-US"/>
        </w:rPr>
        <w:t>portrayal of the giver and a greater honor for the recipient than the realit</w:t>
      </w:r>
      <w:r w:rsidR="003E4CD1" w:rsidRPr="00BE19E8">
        <w:rPr>
          <w:lang w:val="en-US"/>
        </w:rPr>
        <w:t>y of an obligatory relationship</w:t>
      </w:r>
      <w:r w:rsidRPr="00BE19E8">
        <w:rPr>
          <w:lang w:val="en-US"/>
        </w:rPr>
        <w:t>”</w:t>
      </w:r>
      <w:r w:rsidR="003E4CD1" w:rsidRPr="00BE19E8">
        <w:rPr>
          <w:lang w:val="en-US"/>
        </w:rPr>
        <w:t xml:space="preserve"> (1992: 844).</w:t>
      </w:r>
      <w:r w:rsidR="00E35635" w:rsidRPr="00BE19E8">
        <w:rPr>
          <w:lang w:val="en-US"/>
        </w:rPr>
        <w:t xml:space="preserve"> </w:t>
      </w:r>
      <w:r w:rsidR="0076503E" w:rsidRPr="00BE19E8">
        <w:rPr>
          <w:lang w:val="en-US"/>
        </w:rPr>
        <w:t>A</w:t>
      </w:r>
      <w:r w:rsidR="00E35635" w:rsidRPr="00BE19E8">
        <w:rPr>
          <w:lang w:val="en-US"/>
        </w:rPr>
        <w:t xml:space="preserve">s </w:t>
      </w:r>
      <w:proofErr w:type="spellStart"/>
      <w:r w:rsidR="00E35635" w:rsidRPr="00BE19E8">
        <w:rPr>
          <w:lang w:val="en-US"/>
        </w:rPr>
        <w:t>Krausman</w:t>
      </w:r>
      <w:proofErr w:type="spellEnd"/>
      <w:r w:rsidR="00E35635" w:rsidRPr="00BE19E8">
        <w:rPr>
          <w:lang w:val="en-US"/>
        </w:rPr>
        <w:t xml:space="preserve"> Ben-Amos has shown, </w:t>
      </w:r>
      <w:r w:rsidR="00BE22A5" w:rsidRPr="00BE19E8">
        <w:rPr>
          <w:lang w:val="en-US"/>
        </w:rPr>
        <w:t xml:space="preserve">relations based on gift giving could become enmeshed </w:t>
      </w:r>
      <w:r w:rsidR="00300600" w:rsidRPr="00BE19E8">
        <w:rPr>
          <w:lang w:val="en-US"/>
        </w:rPr>
        <w:t xml:space="preserve">in the administrative structures of the </w:t>
      </w:r>
      <w:r w:rsidR="0076503E" w:rsidRPr="00BE19E8">
        <w:rPr>
          <w:lang w:val="en-US"/>
        </w:rPr>
        <w:t>state apparatus (2008: 9)</w:t>
      </w:r>
      <w:r w:rsidR="00F127A4" w:rsidRPr="00BE19E8">
        <w:rPr>
          <w:lang w:val="en-US"/>
        </w:rPr>
        <w:t>. This</w:t>
      </w:r>
      <w:r w:rsidR="0076503E" w:rsidRPr="00BE19E8">
        <w:rPr>
          <w:lang w:val="en-US"/>
        </w:rPr>
        <w:t xml:space="preserve"> process can also be observed in the case of the Manchus</w:t>
      </w:r>
      <w:r w:rsidR="00F127A4" w:rsidRPr="00BE19E8">
        <w:rPr>
          <w:lang w:val="en-US"/>
        </w:rPr>
        <w:t xml:space="preserve"> and was related to a re-interpretation of the character of gift exchange.</w:t>
      </w:r>
    </w:p>
    <w:p w:rsidR="007C784E" w:rsidRPr="00BE19E8" w:rsidRDefault="007C784E" w:rsidP="007C784E">
      <w:pPr>
        <w:jc w:val="both"/>
        <w:rPr>
          <w:lang w:val="en-US"/>
        </w:rPr>
      </w:pPr>
    </w:p>
    <w:p w:rsidR="00EF260E" w:rsidRDefault="004119EA" w:rsidP="00184BC6">
      <w:pPr>
        <w:jc w:val="both"/>
        <w:rPr>
          <w:lang w:val="en-US"/>
        </w:rPr>
      </w:pPr>
      <w:r>
        <w:rPr>
          <w:lang w:val="en-US"/>
        </w:rPr>
        <w:t>It is notable that t</w:t>
      </w:r>
      <w:r w:rsidR="00D20FDA">
        <w:rPr>
          <w:lang w:val="en-US"/>
        </w:rPr>
        <w:t xml:space="preserve">he emphasis of the Manchu side shifted from recording what was </w:t>
      </w:r>
      <w:r w:rsidR="00D20FDA" w:rsidRPr="00D566CE">
        <w:rPr>
          <w:i/>
          <w:lang w:val="en-US"/>
        </w:rPr>
        <w:t>receive</w:t>
      </w:r>
      <w:r w:rsidR="005D2B64" w:rsidRPr="00D566CE">
        <w:rPr>
          <w:i/>
          <w:lang w:val="en-US"/>
        </w:rPr>
        <w:t xml:space="preserve">d </w:t>
      </w:r>
      <w:r w:rsidR="005D2B64">
        <w:rPr>
          <w:lang w:val="en-US"/>
        </w:rPr>
        <w:t xml:space="preserve">to recording what was </w:t>
      </w:r>
      <w:r w:rsidR="005D2B64" w:rsidRPr="00D566CE">
        <w:rPr>
          <w:i/>
          <w:lang w:val="en-US"/>
        </w:rPr>
        <w:t>given</w:t>
      </w:r>
      <w:r w:rsidR="005D2B64">
        <w:rPr>
          <w:lang w:val="en-US"/>
        </w:rPr>
        <w:t>.</w:t>
      </w:r>
      <w:r w:rsidR="00257056">
        <w:rPr>
          <w:lang w:val="en-US"/>
        </w:rPr>
        <w:t xml:space="preserve"> As stated a</w:t>
      </w:r>
      <w:r>
        <w:rPr>
          <w:lang w:val="en-US"/>
        </w:rPr>
        <w:t xml:space="preserve">bove, </w:t>
      </w:r>
      <w:r w:rsidR="00BD790D">
        <w:rPr>
          <w:lang w:val="en-US"/>
        </w:rPr>
        <w:t xml:space="preserve">during the time of Hong </w:t>
      </w:r>
      <w:proofErr w:type="spellStart"/>
      <w:r w:rsidR="00BD790D">
        <w:rPr>
          <w:lang w:val="en-US"/>
        </w:rPr>
        <w:t>Taiji</w:t>
      </w:r>
      <w:proofErr w:type="spellEnd"/>
      <w:r w:rsidR="000C674A">
        <w:rPr>
          <w:lang w:val="en-US"/>
        </w:rPr>
        <w:t xml:space="preserve"> </w:t>
      </w:r>
      <w:r w:rsidR="00257056">
        <w:rPr>
          <w:lang w:val="en-US"/>
        </w:rPr>
        <w:t>it was me</w:t>
      </w:r>
      <w:r w:rsidR="00154736">
        <w:rPr>
          <w:lang w:val="en-US"/>
        </w:rPr>
        <w:t>ticulously written down, wh</w:t>
      </w:r>
      <w:r w:rsidR="000C674A">
        <w:rPr>
          <w:lang w:val="en-US"/>
        </w:rPr>
        <w:t>ich Mongol leader</w:t>
      </w:r>
      <w:r w:rsidR="00154736">
        <w:rPr>
          <w:lang w:val="en-US"/>
        </w:rPr>
        <w:t xml:space="preserve"> had presented what. </w:t>
      </w:r>
      <w:r w:rsidR="00D566CE">
        <w:rPr>
          <w:lang w:val="en-US"/>
        </w:rPr>
        <w:t xml:space="preserve">The agency responsible for this kind of record-keeping was the </w:t>
      </w:r>
      <w:proofErr w:type="spellStart"/>
      <w:r w:rsidR="00D566CE">
        <w:rPr>
          <w:lang w:val="en-US"/>
        </w:rPr>
        <w:t>Lifanyuan</w:t>
      </w:r>
      <w:proofErr w:type="spellEnd"/>
      <w:r w:rsidR="00507AB0">
        <w:rPr>
          <w:lang w:val="en-US"/>
        </w:rPr>
        <w:t xml:space="preserve">, which </w:t>
      </w:r>
      <w:r w:rsidR="00EF260E">
        <w:rPr>
          <w:lang w:val="en-US"/>
        </w:rPr>
        <w:t xml:space="preserve">- </w:t>
      </w:r>
      <w:r w:rsidR="00507AB0">
        <w:rPr>
          <w:lang w:val="en-US"/>
        </w:rPr>
        <w:t xml:space="preserve">at least from </w:t>
      </w:r>
      <w:r w:rsidR="00507AB0" w:rsidRPr="00507AB0">
        <w:rPr>
          <w:lang w:val="en-US"/>
        </w:rPr>
        <w:t xml:space="preserve">1639 onwards </w:t>
      </w:r>
      <w:r w:rsidR="00EF260E">
        <w:rPr>
          <w:lang w:val="en-US"/>
        </w:rPr>
        <w:t xml:space="preserve">- </w:t>
      </w:r>
      <w:r w:rsidR="00507AB0">
        <w:rPr>
          <w:lang w:val="en-US"/>
        </w:rPr>
        <w:t>also</w:t>
      </w:r>
      <w:r w:rsidR="00507AB0" w:rsidRPr="00507AB0">
        <w:rPr>
          <w:lang w:val="en-US"/>
        </w:rPr>
        <w:t xml:space="preserve"> sealed</w:t>
      </w:r>
      <w:r w:rsidR="00E41956" w:rsidRPr="00E41956">
        <w:rPr>
          <w:lang w:val="en-US"/>
        </w:rPr>
        <w:t xml:space="preserve"> </w:t>
      </w:r>
      <w:r w:rsidR="00507AB0">
        <w:rPr>
          <w:lang w:val="en-US"/>
        </w:rPr>
        <w:t xml:space="preserve">these records </w:t>
      </w:r>
      <w:r w:rsidR="00E41956">
        <w:rPr>
          <w:lang w:val="en-US"/>
        </w:rPr>
        <w:t>(</w:t>
      </w:r>
      <w:proofErr w:type="spellStart"/>
      <w:r w:rsidR="00E41956" w:rsidRPr="00E41956">
        <w:rPr>
          <w:i/>
          <w:lang w:val="en-US"/>
        </w:rPr>
        <w:t>A</w:t>
      </w:r>
      <w:r w:rsidR="00E41956" w:rsidRPr="00E41956">
        <w:rPr>
          <w:i/>
          <w:iCs/>
          <w:lang w:val="en-US"/>
        </w:rPr>
        <w:t>rban</w:t>
      </w:r>
      <w:proofErr w:type="spellEnd"/>
      <w:r w:rsidR="00E41956" w:rsidRPr="00E41956">
        <w:rPr>
          <w:i/>
          <w:iCs/>
          <w:lang w:val="en-US"/>
        </w:rPr>
        <w:t xml:space="preserve"> </w:t>
      </w:r>
      <w:proofErr w:type="spellStart"/>
      <w:r w:rsidR="00E41956" w:rsidRPr="00E41956">
        <w:rPr>
          <w:i/>
          <w:iCs/>
          <w:lang w:val="en-US"/>
        </w:rPr>
        <w:t>dolodu</w:t>
      </w:r>
      <w:proofErr w:type="spellEnd"/>
      <w:r w:rsidR="00E41956" w:rsidRPr="00E41956">
        <w:rPr>
          <w:i/>
          <w:iCs/>
        </w:rPr>
        <w:t>γ</w:t>
      </w:r>
      <w:proofErr w:type="spellStart"/>
      <w:r w:rsidR="00E41956" w:rsidRPr="00E41956">
        <w:rPr>
          <w:i/>
          <w:iCs/>
          <w:lang w:val="en-US"/>
        </w:rPr>
        <w:t>ar</w:t>
      </w:r>
      <w:proofErr w:type="spellEnd"/>
      <w:r w:rsidR="00E41956" w:rsidRPr="00E41956">
        <w:rPr>
          <w:i/>
          <w:iCs/>
          <w:lang w:val="en-US"/>
        </w:rPr>
        <w:t xml:space="preserve"> ja</w:t>
      </w:r>
      <w:r w:rsidR="00E41956" w:rsidRPr="00E41956">
        <w:rPr>
          <w:i/>
          <w:iCs/>
        </w:rPr>
        <w:t>γ</w:t>
      </w:r>
      <w:r w:rsidR="00E41956" w:rsidRPr="00E41956">
        <w:rPr>
          <w:i/>
          <w:iCs/>
          <w:lang w:val="en-US"/>
        </w:rPr>
        <w:t>un-u</w:t>
      </w:r>
      <w:r w:rsidR="00507AB0">
        <w:rPr>
          <w:lang w:val="en-US"/>
        </w:rPr>
        <w:t xml:space="preserve"> 1997:</w:t>
      </w:r>
      <w:r w:rsidR="00E41956" w:rsidRPr="00E41956">
        <w:rPr>
          <w:i/>
          <w:iCs/>
          <w:lang w:val="en-US"/>
        </w:rPr>
        <w:t xml:space="preserve"> </w:t>
      </w:r>
      <w:r w:rsidR="008B5B6D" w:rsidRPr="008B5B6D">
        <w:rPr>
          <w:lang w:val="en-US"/>
        </w:rPr>
        <w:t>vol. 2</w:t>
      </w:r>
      <w:r w:rsidR="00507AB0">
        <w:rPr>
          <w:lang w:val="en-US"/>
        </w:rPr>
        <w:t xml:space="preserve">). </w:t>
      </w:r>
      <w:r w:rsidR="002600AD">
        <w:rPr>
          <w:lang w:val="en-US"/>
        </w:rPr>
        <w:t xml:space="preserve">In </w:t>
      </w:r>
      <w:r w:rsidR="00154736">
        <w:rPr>
          <w:lang w:val="en-US"/>
        </w:rPr>
        <w:t>1646, however,</w:t>
      </w:r>
      <w:r w:rsidR="00607328">
        <w:rPr>
          <w:lang w:val="en-US"/>
        </w:rPr>
        <w:t xml:space="preserve"> </w:t>
      </w:r>
      <w:r w:rsidR="00B84751">
        <w:rPr>
          <w:lang w:val="en-US"/>
        </w:rPr>
        <w:t xml:space="preserve">the practice of recording details of these transactions </w:t>
      </w:r>
      <w:r w:rsidR="00063476">
        <w:rPr>
          <w:lang w:val="en-US"/>
        </w:rPr>
        <w:t xml:space="preserve">changed. </w:t>
      </w:r>
      <w:r w:rsidR="00BD790D">
        <w:rPr>
          <w:lang w:val="en-US"/>
        </w:rPr>
        <w:t>T</w:t>
      </w:r>
      <w:r w:rsidR="00154736">
        <w:rPr>
          <w:lang w:val="en-US"/>
        </w:rPr>
        <w:t xml:space="preserve">he gifts of the </w:t>
      </w:r>
      <w:r w:rsidR="002C1D00">
        <w:rPr>
          <w:lang w:val="en-US"/>
        </w:rPr>
        <w:t>Mongol</w:t>
      </w:r>
      <w:r w:rsidR="00154736">
        <w:rPr>
          <w:lang w:val="en-US"/>
        </w:rPr>
        <w:t xml:space="preserve"> side</w:t>
      </w:r>
      <w:r w:rsidR="002600AD">
        <w:rPr>
          <w:lang w:val="en-US"/>
        </w:rPr>
        <w:t xml:space="preserve"> were still recorded</w:t>
      </w:r>
      <w:r w:rsidR="00154736">
        <w:rPr>
          <w:lang w:val="en-US"/>
        </w:rPr>
        <w:t>,</w:t>
      </w:r>
      <w:r w:rsidR="00607328">
        <w:rPr>
          <w:lang w:val="en-US"/>
        </w:rPr>
        <w:t xml:space="preserve"> </w:t>
      </w:r>
      <w:r w:rsidR="00BD790D">
        <w:rPr>
          <w:lang w:val="en-US"/>
        </w:rPr>
        <w:t>but</w:t>
      </w:r>
      <w:r w:rsidR="00507AB0">
        <w:rPr>
          <w:lang w:val="en-US"/>
        </w:rPr>
        <w:t>,</w:t>
      </w:r>
      <w:r w:rsidR="00BD790D">
        <w:rPr>
          <w:lang w:val="en-US"/>
        </w:rPr>
        <w:t xml:space="preserve"> additionally, a list of return presents was added indicating which member of a Mongol delegation had received what</w:t>
      </w:r>
      <w:r w:rsidR="00507AB0" w:rsidRPr="00507AB0">
        <w:rPr>
          <w:i/>
          <w:lang w:val="en-US"/>
        </w:rPr>
        <w:t xml:space="preserve"> </w:t>
      </w:r>
      <w:r w:rsidR="00507AB0">
        <w:rPr>
          <w:iCs/>
          <w:lang w:val="en-US"/>
        </w:rPr>
        <w:t>(</w:t>
      </w:r>
      <w:proofErr w:type="spellStart"/>
      <w:r w:rsidR="00507AB0" w:rsidRPr="00507AB0">
        <w:rPr>
          <w:i/>
          <w:lang w:val="en-US"/>
        </w:rPr>
        <w:t>A</w:t>
      </w:r>
      <w:r w:rsidR="00507AB0" w:rsidRPr="00507AB0">
        <w:rPr>
          <w:i/>
          <w:iCs/>
          <w:lang w:val="en-US"/>
        </w:rPr>
        <w:t>rban</w:t>
      </w:r>
      <w:proofErr w:type="spellEnd"/>
      <w:r w:rsidR="00507AB0" w:rsidRPr="00507AB0">
        <w:rPr>
          <w:i/>
          <w:iCs/>
          <w:lang w:val="en-US"/>
        </w:rPr>
        <w:t xml:space="preserve"> </w:t>
      </w:r>
      <w:proofErr w:type="spellStart"/>
      <w:r w:rsidR="00507AB0" w:rsidRPr="00507AB0">
        <w:rPr>
          <w:i/>
          <w:iCs/>
          <w:lang w:val="en-US"/>
        </w:rPr>
        <w:t>dolodu</w:t>
      </w:r>
      <w:proofErr w:type="spellEnd"/>
      <w:r w:rsidR="00507AB0" w:rsidRPr="00507AB0">
        <w:rPr>
          <w:i/>
          <w:iCs/>
        </w:rPr>
        <w:t>γ</w:t>
      </w:r>
      <w:proofErr w:type="spellStart"/>
      <w:r w:rsidR="00507AB0" w:rsidRPr="00507AB0">
        <w:rPr>
          <w:i/>
          <w:iCs/>
          <w:lang w:val="en-US"/>
        </w:rPr>
        <w:t>ar</w:t>
      </w:r>
      <w:proofErr w:type="spellEnd"/>
      <w:r w:rsidR="00507AB0" w:rsidRPr="00507AB0">
        <w:rPr>
          <w:i/>
          <w:iCs/>
          <w:lang w:val="en-US"/>
        </w:rPr>
        <w:t xml:space="preserve"> ja</w:t>
      </w:r>
      <w:r w:rsidR="00507AB0" w:rsidRPr="00507AB0">
        <w:rPr>
          <w:i/>
          <w:iCs/>
        </w:rPr>
        <w:t>γ</w:t>
      </w:r>
      <w:r w:rsidR="00507AB0" w:rsidRPr="00507AB0">
        <w:rPr>
          <w:i/>
          <w:iCs/>
          <w:lang w:val="en-US"/>
        </w:rPr>
        <w:t>un-u</w:t>
      </w:r>
      <w:r w:rsidR="00507AB0">
        <w:rPr>
          <w:i/>
          <w:iCs/>
          <w:lang w:val="en-US"/>
        </w:rPr>
        <w:t xml:space="preserve"> </w:t>
      </w:r>
      <w:r w:rsidR="00507AB0">
        <w:rPr>
          <w:lang w:val="en-US"/>
        </w:rPr>
        <w:t>1997:</w:t>
      </w:r>
      <w:r w:rsidR="00507AB0" w:rsidRPr="00507AB0">
        <w:rPr>
          <w:i/>
          <w:iCs/>
          <w:lang w:val="en-US"/>
        </w:rPr>
        <w:t xml:space="preserve"> </w:t>
      </w:r>
      <w:r w:rsidR="00507AB0">
        <w:rPr>
          <w:lang w:val="en-US"/>
        </w:rPr>
        <w:t>vol. 2</w:t>
      </w:r>
      <w:r w:rsidR="00507AB0" w:rsidRPr="00507AB0">
        <w:rPr>
          <w:iCs/>
          <w:lang w:val="en-US"/>
        </w:rPr>
        <w:t>, nos. 41, 43, 44, 45, 46, 49</w:t>
      </w:r>
      <w:r w:rsidR="00507AB0">
        <w:rPr>
          <w:iCs/>
          <w:lang w:val="en-US"/>
        </w:rPr>
        <w:t>)</w:t>
      </w:r>
      <w:r w:rsidR="00BD790D">
        <w:rPr>
          <w:lang w:val="en-US"/>
        </w:rPr>
        <w:t xml:space="preserve">. </w:t>
      </w:r>
      <w:r w:rsidR="00471B35">
        <w:rPr>
          <w:lang w:val="en-US"/>
        </w:rPr>
        <w:t xml:space="preserve">Moreover, while the neutral Mongol term </w:t>
      </w:r>
      <w:proofErr w:type="spellStart"/>
      <w:r w:rsidR="00471B35" w:rsidRPr="00471B35">
        <w:rPr>
          <w:i/>
          <w:iCs/>
          <w:lang w:val="en-US"/>
        </w:rPr>
        <w:t>beleg</w:t>
      </w:r>
      <w:proofErr w:type="spellEnd"/>
      <w:r w:rsidR="00EF260E">
        <w:rPr>
          <w:lang w:val="en-US"/>
        </w:rPr>
        <w:t>, “present”, was</w:t>
      </w:r>
      <w:r w:rsidR="00471B35">
        <w:rPr>
          <w:lang w:val="en-US"/>
        </w:rPr>
        <w:t xml:space="preserve"> used for gifts of Mongols given to the Manchu ruler on the occasion of their ennoblement, </w:t>
      </w:r>
      <w:r w:rsidR="00D768A3">
        <w:rPr>
          <w:lang w:val="en-US"/>
        </w:rPr>
        <w:t xml:space="preserve">other </w:t>
      </w:r>
      <w:r w:rsidR="00471B35">
        <w:rPr>
          <w:lang w:val="en-US"/>
        </w:rPr>
        <w:t xml:space="preserve">gifts, </w:t>
      </w:r>
      <w:r w:rsidR="00D768A3">
        <w:rPr>
          <w:lang w:val="en-US"/>
        </w:rPr>
        <w:t xml:space="preserve">given </w:t>
      </w:r>
      <w:r w:rsidR="00471B35">
        <w:rPr>
          <w:lang w:val="en-US"/>
        </w:rPr>
        <w:t xml:space="preserve">for example on the occasion of the New Year festival, were </w:t>
      </w:r>
      <w:r w:rsidR="00A6310A">
        <w:rPr>
          <w:lang w:val="en-US"/>
        </w:rPr>
        <w:t>designated</w:t>
      </w:r>
      <w:r w:rsidR="00471B35">
        <w:rPr>
          <w:lang w:val="en-US"/>
        </w:rPr>
        <w:t xml:space="preserve"> by the </w:t>
      </w:r>
      <w:proofErr w:type="spellStart"/>
      <w:r w:rsidR="00471B35">
        <w:rPr>
          <w:lang w:val="en-US"/>
        </w:rPr>
        <w:t>Lifanyuan</w:t>
      </w:r>
      <w:proofErr w:type="spellEnd"/>
      <w:r w:rsidR="00471B35">
        <w:rPr>
          <w:lang w:val="en-US"/>
        </w:rPr>
        <w:t xml:space="preserve"> as </w:t>
      </w:r>
      <w:r w:rsidR="00471B35" w:rsidRPr="00C84841">
        <w:rPr>
          <w:i/>
          <w:iCs/>
          <w:lang w:val="en-US"/>
        </w:rPr>
        <w:t>alba</w:t>
      </w:r>
      <w:r w:rsidR="00471B35">
        <w:rPr>
          <w:lang w:val="en-US"/>
        </w:rPr>
        <w:t>, “duties”</w:t>
      </w:r>
      <w:r w:rsidR="007F0F16">
        <w:rPr>
          <w:lang w:val="en-US"/>
        </w:rPr>
        <w:t xml:space="preserve"> (</w:t>
      </w:r>
      <w:proofErr w:type="spellStart"/>
      <w:r w:rsidR="007F0F16" w:rsidRPr="007F0F16">
        <w:rPr>
          <w:i/>
          <w:lang w:val="en-US"/>
        </w:rPr>
        <w:t>A</w:t>
      </w:r>
      <w:r w:rsidR="007F0F16" w:rsidRPr="007F0F16">
        <w:rPr>
          <w:i/>
          <w:iCs/>
          <w:lang w:val="en-US"/>
        </w:rPr>
        <w:t>rban</w:t>
      </w:r>
      <w:proofErr w:type="spellEnd"/>
      <w:r w:rsidR="007F0F16" w:rsidRPr="007F0F16">
        <w:rPr>
          <w:i/>
          <w:iCs/>
          <w:lang w:val="en-US"/>
        </w:rPr>
        <w:t xml:space="preserve"> </w:t>
      </w:r>
      <w:proofErr w:type="spellStart"/>
      <w:r w:rsidR="007F0F16" w:rsidRPr="007F0F16">
        <w:rPr>
          <w:i/>
          <w:iCs/>
          <w:lang w:val="en-US"/>
        </w:rPr>
        <w:t>dolodu</w:t>
      </w:r>
      <w:proofErr w:type="spellEnd"/>
      <w:r w:rsidR="007F0F16" w:rsidRPr="007F0F16">
        <w:rPr>
          <w:i/>
          <w:iCs/>
        </w:rPr>
        <w:t>γ</w:t>
      </w:r>
      <w:proofErr w:type="spellStart"/>
      <w:r w:rsidR="007F0F16" w:rsidRPr="007F0F16">
        <w:rPr>
          <w:i/>
          <w:iCs/>
          <w:lang w:val="en-US"/>
        </w:rPr>
        <w:t>ar</w:t>
      </w:r>
      <w:proofErr w:type="spellEnd"/>
      <w:r w:rsidR="007F0F16" w:rsidRPr="007F0F16">
        <w:rPr>
          <w:i/>
          <w:iCs/>
          <w:lang w:val="en-US"/>
        </w:rPr>
        <w:t xml:space="preserve"> ja</w:t>
      </w:r>
      <w:r w:rsidR="007F0F16" w:rsidRPr="007F0F16">
        <w:rPr>
          <w:i/>
          <w:iCs/>
        </w:rPr>
        <w:t>γ</w:t>
      </w:r>
      <w:r w:rsidR="007F0F16">
        <w:rPr>
          <w:i/>
          <w:iCs/>
          <w:lang w:val="en-US"/>
        </w:rPr>
        <w:t>un-u</w:t>
      </w:r>
      <w:r w:rsidR="007F0F16">
        <w:rPr>
          <w:lang w:val="en-US"/>
        </w:rPr>
        <w:t xml:space="preserve"> 1997: vol. 2</w:t>
      </w:r>
      <w:r w:rsidR="007F0F16" w:rsidRPr="007F0F16">
        <w:rPr>
          <w:iCs/>
          <w:lang w:val="en-US"/>
        </w:rPr>
        <w:t>, nos. 41, 43, 44, 45, 46, 49</w:t>
      </w:r>
      <w:r w:rsidR="007F0F16">
        <w:rPr>
          <w:iCs/>
          <w:lang w:val="en-US"/>
        </w:rPr>
        <w:t>)</w:t>
      </w:r>
      <w:r w:rsidR="007F0F16" w:rsidRPr="007F0F16">
        <w:rPr>
          <w:iCs/>
          <w:lang w:val="en-US"/>
        </w:rPr>
        <w:t xml:space="preserve">. </w:t>
      </w:r>
      <w:r w:rsidR="007F0F16">
        <w:rPr>
          <w:iCs/>
          <w:lang w:val="en-US"/>
        </w:rPr>
        <w:t>I</w:t>
      </w:r>
      <w:r w:rsidR="007F0F16" w:rsidRPr="007F0F16">
        <w:rPr>
          <w:iCs/>
          <w:lang w:val="en-US"/>
        </w:rPr>
        <w:t xml:space="preserve">t is difficult to assess under which political circumstances </w:t>
      </w:r>
      <w:r w:rsidR="007F0F16">
        <w:rPr>
          <w:iCs/>
          <w:lang w:val="en-US"/>
        </w:rPr>
        <w:t>the gifts/duties were exchanged, because, i</w:t>
      </w:r>
      <w:r w:rsidR="007F0F16" w:rsidRPr="007F0F16">
        <w:rPr>
          <w:lang w:val="en-US"/>
        </w:rPr>
        <w:t>n most cases</w:t>
      </w:r>
      <w:r w:rsidR="007F0F16">
        <w:rPr>
          <w:lang w:val="en-US"/>
        </w:rPr>
        <w:t>,</w:t>
      </w:r>
      <w:r w:rsidR="007F0F16" w:rsidRPr="007F0F16">
        <w:rPr>
          <w:lang w:val="en-US"/>
        </w:rPr>
        <w:t xml:space="preserve"> only names, titles and the amount of gifts is documented</w:t>
      </w:r>
      <w:r w:rsidR="007F0F16">
        <w:rPr>
          <w:lang w:val="en-US"/>
        </w:rPr>
        <w:t xml:space="preserve">. </w:t>
      </w:r>
      <w:r w:rsidR="00607328">
        <w:rPr>
          <w:lang w:val="en-US"/>
        </w:rPr>
        <w:t xml:space="preserve">The return presents given by the Manchu side, however, </w:t>
      </w:r>
      <w:r w:rsidR="00EF260E">
        <w:rPr>
          <w:lang w:val="en-US"/>
        </w:rPr>
        <w:t>wer</w:t>
      </w:r>
      <w:r w:rsidR="00607328">
        <w:rPr>
          <w:lang w:val="en-US"/>
        </w:rPr>
        <w:t xml:space="preserve">e called </w:t>
      </w:r>
      <w:proofErr w:type="spellStart"/>
      <w:r w:rsidR="00607328" w:rsidRPr="00593F58">
        <w:rPr>
          <w:i/>
          <w:lang w:val="en-US"/>
        </w:rPr>
        <w:t>öglige</w:t>
      </w:r>
      <w:proofErr w:type="spellEnd"/>
      <w:r w:rsidR="00607328">
        <w:rPr>
          <w:lang w:val="en-US"/>
        </w:rPr>
        <w:t>, “donations, al</w:t>
      </w:r>
      <w:r w:rsidR="00490CEC">
        <w:rPr>
          <w:lang w:val="en-US"/>
        </w:rPr>
        <w:t xml:space="preserve">ms”, </w:t>
      </w:r>
      <w:r w:rsidR="007159A2">
        <w:rPr>
          <w:lang w:val="en-US"/>
        </w:rPr>
        <w:t>which denotes a present for a superior to an inferior</w:t>
      </w:r>
      <w:r w:rsidR="007F0F16" w:rsidRPr="007F0F16">
        <w:rPr>
          <w:lang w:val="en-US"/>
        </w:rPr>
        <w:t xml:space="preserve"> </w:t>
      </w:r>
      <w:r w:rsidR="007F0F16">
        <w:rPr>
          <w:lang w:val="en-US"/>
        </w:rPr>
        <w:t>(</w:t>
      </w:r>
      <w:proofErr w:type="spellStart"/>
      <w:r w:rsidR="007F0F16">
        <w:rPr>
          <w:lang w:val="en-US"/>
        </w:rPr>
        <w:t>Doerfer</w:t>
      </w:r>
      <w:proofErr w:type="spellEnd"/>
      <w:r w:rsidR="007F0F16">
        <w:rPr>
          <w:lang w:val="en-US"/>
        </w:rPr>
        <w:t xml:space="preserve"> 1963</w:t>
      </w:r>
      <w:r w:rsidR="002614E6">
        <w:rPr>
          <w:lang w:val="en-US"/>
        </w:rPr>
        <w:t>b</w:t>
      </w:r>
      <w:r w:rsidR="007F0F16">
        <w:rPr>
          <w:lang w:val="en-US"/>
        </w:rPr>
        <w:t>:</w:t>
      </w:r>
      <w:r w:rsidR="007F0F16" w:rsidRPr="007F0F16">
        <w:rPr>
          <w:lang w:val="en-US"/>
        </w:rPr>
        <w:t xml:space="preserve"> 140</w:t>
      </w:r>
      <w:r w:rsidR="007F0F16">
        <w:rPr>
          <w:lang w:val="en-US"/>
        </w:rPr>
        <w:t>)</w:t>
      </w:r>
      <w:r w:rsidR="007159A2">
        <w:rPr>
          <w:lang w:val="en-US"/>
        </w:rPr>
        <w:t>.</w:t>
      </w:r>
      <w:r w:rsidR="007F0F16">
        <w:rPr>
          <w:rStyle w:val="Endnotenzeichen"/>
          <w:lang w:val="en-US"/>
        </w:rPr>
        <w:endnoteReference w:id="17"/>
      </w:r>
      <w:r w:rsidR="007159A2">
        <w:rPr>
          <w:lang w:val="en-US"/>
        </w:rPr>
        <w:t xml:space="preserve"> </w:t>
      </w:r>
    </w:p>
    <w:p w:rsidR="00C202A9" w:rsidRDefault="00211FB6" w:rsidP="00184BC6">
      <w:pPr>
        <w:jc w:val="both"/>
        <w:rPr>
          <w:lang w:val="en-US"/>
        </w:rPr>
      </w:pPr>
      <w:r>
        <w:rPr>
          <w:lang w:val="en-US"/>
        </w:rPr>
        <w:t xml:space="preserve">While in 1646 presents and return-presents </w:t>
      </w:r>
      <w:r w:rsidR="00B84751">
        <w:rPr>
          <w:lang w:val="en-US"/>
        </w:rPr>
        <w:t xml:space="preserve">(labeled as “donations”) </w:t>
      </w:r>
      <w:r>
        <w:rPr>
          <w:lang w:val="en-US"/>
        </w:rPr>
        <w:t xml:space="preserve">had been recorded equally, </w:t>
      </w:r>
      <w:proofErr w:type="spellStart"/>
      <w:r>
        <w:rPr>
          <w:lang w:val="en-US"/>
        </w:rPr>
        <w:t>Lifanyuan</w:t>
      </w:r>
      <w:proofErr w:type="spellEnd"/>
      <w:r>
        <w:rPr>
          <w:lang w:val="en-US"/>
        </w:rPr>
        <w:t xml:space="preserve"> memorials drafted a decade later reveal that the gift exchange with </w:t>
      </w:r>
      <w:r w:rsidR="002C1D00">
        <w:rPr>
          <w:lang w:val="en-US"/>
        </w:rPr>
        <w:t>Mongol</w:t>
      </w:r>
      <w:r>
        <w:rPr>
          <w:lang w:val="en-US"/>
        </w:rPr>
        <w:t xml:space="preserve"> leaders had bee</w:t>
      </w:r>
      <w:r w:rsidR="00A83AE6">
        <w:rPr>
          <w:lang w:val="en-US"/>
        </w:rPr>
        <w:t>n</w:t>
      </w:r>
      <w:r>
        <w:rPr>
          <w:lang w:val="en-US"/>
        </w:rPr>
        <w:t xml:space="preserve"> further re-interpreted. The </w:t>
      </w:r>
      <w:proofErr w:type="spellStart"/>
      <w:r>
        <w:rPr>
          <w:lang w:val="en-US"/>
        </w:rPr>
        <w:t>Lifanyuan</w:t>
      </w:r>
      <w:proofErr w:type="spellEnd"/>
      <w:r>
        <w:rPr>
          <w:lang w:val="en-US"/>
        </w:rPr>
        <w:t xml:space="preserve"> in 1654, 1655, 1656 presented the emperor with f</w:t>
      </w:r>
      <w:r w:rsidR="00C270F5">
        <w:rPr>
          <w:lang w:val="en-US"/>
        </w:rPr>
        <w:t>ive</w:t>
      </w:r>
      <w:r>
        <w:rPr>
          <w:lang w:val="en-US"/>
        </w:rPr>
        <w:t xml:space="preserve"> memorials discussing gifts for members of the </w:t>
      </w:r>
      <w:r w:rsidR="002C1D00">
        <w:rPr>
          <w:lang w:val="en-US"/>
        </w:rPr>
        <w:t>Mongol</w:t>
      </w:r>
      <w:r>
        <w:rPr>
          <w:lang w:val="en-US"/>
        </w:rPr>
        <w:t xml:space="preserve"> nobility who had come to the court</w:t>
      </w:r>
      <w:r w:rsidR="00ED1078" w:rsidRPr="00ED1078">
        <w:rPr>
          <w:i/>
          <w:lang w:val="en-US"/>
        </w:rPr>
        <w:t xml:space="preserve"> </w:t>
      </w:r>
      <w:r w:rsidR="00ED1078">
        <w:rPr>
          <w:iCs/>
          <w:lang w:val="en-US"/>
        </w:rPr>
        <w:t>(</w:t>
      </w:r>
      <w:r w:rsidR="00ED1078" w:rsidRPr="00ED1078">
        <w:rPr>
          <w:i/>
          <w:lang w:val="en-US"/>
        </w:rPr>
        <w:t xml:space="preserve">Qing </w:t>
      </w:r>
      <w:proofErr w:type="spellStart"/>
      <w:r w:rsidR="00ED1078" w:rsidRPr="00ED1078">
        <w:rPr>
          <w:i/>
          <w:lang w:val="en-US"/>
        </w:rPr>
        <w:t>chao</w:t>
      </w:r>
      <w:proofErr w:type="spellEnd"/>
      <w:r w:rsidR="00ED1078" w:rsidRPr="00ED1078">
        <w:rPr>
          <w:i/>
          <w:lang w:val="en-US"/>
        </w:rPr>
        <w:t xml:space="preserve"> </w:t>
      </w:r>
      <w:proofErr w:type="spellStart"/>
      <w:r w:rsidR="00ED1078" w:rsidRPr="00ED1078">
        <w:rPr>
          <w:i/>
          <w:lang w:val="en-US"/>
        </w:rPr>
        <w:t>qianqi</w:t>
      </w:r>
      <w:proofErr w:type="spellEnd"/>
      <w:r w:rsidR="00ED1078" w:rsidRPr="00ED1078">
        <w:rPr>
          <w:i/>
          <w:lang w:val="en-US"/>
        </w:rPr>
        <w:t xml:space="preserve"> </w:t>
      </w:r>
      <w:proofErr w:type="spellStart"/>
      <w:r w:rsidR="00ED1078" w:rsidRPr="00ED1078">
        <w:rPr>
          <w:i/>
          <w:lang w:val="en-US"/>
        </w:rPr>
        <w:t>Lifanyuan</w:t>
      </w:r>
      <w:proofErr w:type="spellEnd"/>
      <w:r w:rsidR="00ED1078">
        <w:rPr>
          <w:iCs/>
          <w:lang w:val="en-US"/>
        </w:rPr>
        <w:t xml:space="preserve"> 2010: vol. 1</w:t>
      </w:r>
      <w:r w:rsidR="00ED1078">
        <w:rPr>
          <w:lang w:val="en-US"/>
        </w:rPr>
        <w:t xml:space="preserve">, nos. 50, 80, 84, 92, </w:t>
      </w:r>
      <w:r w:rsidR="00ED1078" w:rsidRPr="00ED1078">
        <w:rPr>
          <w:lang w:val="en-US"/>
        </w:rPr>
        <w:t>105</w:t>
      </w:r>
      <w:r w:rsidR="00ED1078">
        <w:rPr>
          <w:lang w:val="en-US"/>
        </w:rPr>
        <w:t>)</w:t>
      </w:r>
      <w:r>
        <w:rPr>
          <w:lang w:val="en-US"/>
        </w:rPr>
        <w:t>.</w:t>
      </w:r>
      <w:r w:rsidR="00257056">
        <w:rPr>
          <w:lang w:val="en-US"/>
        </w:rPr>
        <w:t xml:space="preserve"> </w:t>
      </w:r>
      <w:r w:rsidR="00A83AE6">
        <w:rPr>
          <w:lang w:val="en-US"/>
        </w:rPr>
        <w:t xml:space="preserve">Significantly, it did not make any mention of presents the emperor may have received or expected from the guests. </w:t>
      </w:r>
      <w:r w:rsidR="00441F9E">
        <w:rPr>
          <w:lang w:val="en-US"/>
        </w:rPr>
        <w:t>A</w:t>
      </w:r>
      <w:r w:rsidR="008F6608">
        <w:rPr>
          <w:lang w:val="en-US"/>
        </w:rPr>
        <w:t>pparently</w:t>
      </w:r>
      <w:r w:rsidR="00441F9E">
        <w:rPr>
          <w:lang w:val="en-US"/>
        </w:rPr>
        <w:t>, the issue, which called for a debate and new regulations</w:t>
      </w:r>
      <w:r w:rsidR="006B6ACE">
        <w:rPr>
          <w:lang w:val="en-US"/>
        </w:rPr>
        <w:t>,</w:t>
      </w:r>
      <w:r w:rsidR="00441F9E">
        <w:rPr>
          <w:lang w:val="en-US"/>
        </w:rPr>
        <w:t xml:space="preserve"> was the quality and amount of gifts </w:t>
      </w:r>
      <w:r w:rsidR="00441F9E" w:rsidRPr="00441F9E">
        <w:rPr>
          <w:i/>
          <w:lang w:val="en-US"/>
        </w:rPr>
        <w:t>given</w:t>
      </w:r>
      <w:r w:rsidR="00441F9E">
        <w:rPr>
          <w:lang w:val="en-US"/>
        </w:rPr>
        <w:t xml:space="preserve"> by the court</w:t>
      </w:r>
      <w:r w:rsidR="008F6608">
        <w:rPr>
          <w:lang w:val="en-US"/>
        </w:rPr>
        <w:t xml:space="preserve">. </w:t>
      </w:r>
      <w:r w:rsidR="005A1835">
        <w:rPr>
          <w:lang w:val="en-US"/>
        </w:rPr>
        <w:t xml:space="preserve">This is an important point because, as James </w:t>
      </w:r>
      <w:proofErr w:type="spellStart"/>
      <w:r w:rsidR="005A1835">
        <w:rPr>
          <w:lang w:val="en-US"/>
        </w:rPr>
        <w:t>Hevia</w:t>
      </w:r>
      <w:proofErr w:type="spellEnd"/>
      <w:r w:rsidR="005A1835">
        <w:rPr>
          <w:lang w:val="en-US"/>
        </w:rPr>
        <w:t xml:space="preserve"> has shown, for the Qing court the rituals performed in connection with gift exchange were a means for constructing power relations. </w:t>
      </w:r>
      <w:r w:rsidR="00D768A3">
        <w:rPr>
          <w:lang w:val="en-US"/>
        </w:rPr>
        <w:t>Being closely connect</w:t>
      </w:r>
      <w:r w:rsidR="00E85DD0">
        <w:rPr>
          <w:lang w:val="en-US"/>
        </w:rPr>
        <w:t>e</w:t>
      </w:r>
      <w:r w:rsidR="00D768A3">
        <w:rPr>
          <w:lang w:val="en-US"/>
        </w:rPr>
        <w:t>d to the “lesser lord</w:t>
      </w:r>
      <w:r w:rsidR="00E85DD0">
        <w:rPr>
          <w:lang w:val="en-US"/>
        </w:rPr>
        <w:t>’s” act of offering, a</w:t>
      </w:r>
      <w:r w:rsidR="0070021D">
        <w:rPr>
          <w:lang w:val="en-US"/>
        </w:rPr>
        <w:t xml:space="preserve">ccording to </w:t>
      </w:r>
      <w:proofErr w:type="spellStart"/>
      <w:r w:rsidR="0070021D">
        <w:rPr>
          <w:lang w:val="en-US"/>
        </w:rPr>
        <w:t>Hevia</w:t>
      </w:r>
      <w:proofErr w:type="spellEnd"/>
      <w:r w:rsidR="0070021D">
        <w:rPr>
          <w:lang w:val="en-US"/>
        </w:rPr>
        <w:t xml:space="preserve"> “the importance of bestowal lies in the fact that by flowing down, it completes the hierarchical relationship of superior and inf</w:t>
      </w:r>
      <w:r w:rsidR="00C202A9">
        <w:rPr>
          <w:lang w:val="en-US"/>
        </w:rPr>
        <w:t>erior</w:t>
      </w:r>
      <w:r w:rsidR="0070021D">
        <w:rPr>
          <w:lang w:val="en-US"/>
        </w:rPr>
        <w:t>”</w:t>
      </w:r>
      <w:r w:rsidR="00C202A9">
        <w:rPr>
          <w:lang w:val="en-US"/>
        </w:rPr>
        <w:t xml:space="preserve"> </w:t>
      </w:r>
      <w:r w:rsidR="00ED1078" w:rsidRPr="00ED1078">
        <w:rPr>
          <w:lang w:val="en-US"/>
        </w:rPr>
        <w:t>(1995: 129</w:t>
      </w:r>
      <w:r w:rsidR="00ED1078">
        <w:rPr>
          <w:lang w:val="en-US"/>
        </w:rPr>
        <w:t xml:space="preserve">) </w:t>
      </w:r>
      <w:r w:rsidR="00C202A9">
        <w:rPr>
          <w:lang w:val="en-US"/>
        </w:rPr>
        <w:t xml:space="preserve">and thus allowed the inclusion of the “lesser lord’s” powers into the universal </w:t>
      </w:r>
      <w:r w:rsidR="00C202A9">
        <w:rPr>
          <w:lang w:val="en-US"/>
        </w:rPr>
        <w:lastRenderedPageBreak/>
        <w:t>rule of the emperor</w:t>
      </w:r>
      <w:r w:rsidR="00ED1078">
        <w:rPr>
          <w:lang w:val="en-US"/>
        </w:rPr>
        <w:t xml:space="preserve"> (</w:t>
      </w:r>
      <w:r w:rsidR="00ED1078" w:rsidRPr="00ED1078">
        <w:rPr>
          <w:lang w:val="en-US"/>
        </w:rPr>
        <w:t>123</w:t>
      </w:r>
      <w:r w:rsidR="00ED1078">
        <w:rPr>
          <w:lang w:val="en-US"/>
        </w:rPr>
        <w:t>)</w:t>
      </w:r>
      <w:r w:rsidR="00C202A9">
        <w:rPr>
          <w:lang w:val="en-US"/>
        </w:rPr>
        <w:t xml:space="preserve">. </w:t>
      </w:r>
      <w:r w:rsidR="00977FCF">
        <w:rPr>
          <w:lang w:val="en-US"/>
        </w:rPr>
        <w:t>There is widespread agreement that g</w:t>
      </w:r>
      <w:r w:rsidR="001C0924">
        <w:rPr>
          <w:lang w:val="en-US"/>
        </w:rPr>
        <w:t xml:space="preserve">ift-exchange and tribute </w:t>
      </w:r>
      <w:r w:rsidR="00977FCF">
        <w:rPr>
          <w:lang w:val="en-US"/>
        </w:rPr>
        <w:t xml:space="preserve">should not be </w:t>
      </w:r>
      <w:r w:rsidR="001C0924">
        <w:rPr>
          <w:lang w:val="en-US"/>
        </w:rPr>
        <w:t>seen as formalized “systems”, but rather as flexible practices able to embrace a variety of meanings and connotations</w:t>
      </w:r>
      <w:r w:rsidR="00AD357E" w:rsidRPr="00AD357E">
        <w:rPr>
          <w:lang w:val="en-US"/>
        </w:rPr>
        <w:t xml:space="preserve"> </w:t>
      </w:r>
      <w:r w:rsidR="00AD357E">
        <w:rPr>
          <w:lang w:val="en-US"/>
        </w:rPr>
        <w:t>(</w:t>
      </w:r>
      <w:r w:rsidR="00AD357E" w:rsidRPr="00AD357E">
        <w:rPr>
          <w:lang w:val="en-US"/>
        </w:rPr>
        <w:t>Perdue</w:t>
      </w:r>
      <w:r w:rsidR="00AD357E">
        <w:rPr>
          <w:lang w:val="en-US"/>
        </w:rPr>
        <w:t xml:space="preserve"> 2009</w:t>
      </w:r>
      <w:r w:rsidR="00D26458">
        <w:rPr>
          <w:lang w:val="en-US"/>
        </w:rPr>
        <w:t>a</w:t>
      </w:r>
      <w:r w:rsidR="00AD357E">
        <w:rPr>
          <w:lang w:val="en-US"/>
        </w:rPr>
        <w:t>:</w:t>
      </w:r>
      <w:r w:rsidR="00AD357E" w:rsidRPr="00AD357E">
        <w:rPr>
          <w:lang w:val="en-US"/>
        </w:rPr>
        <w:t xml:space="preserve"> 86/87</w:t>
      </w:r>
      <w:r w:rsidR="00AD357E">
        <w:rPr>
          <w:lang w:val="en-US"/>
        </w:rPr>
        <w:t>)</w:t>
      </w:r>
      <w:r w:rsidR="001C0924">
        <w:rPr>
          <w:lang w:val="en-US"/>
        </w:rPr>
        <w:t xml:space="preserve">. </w:t>
      </w:r>
      <w:r w:rsidR="00BD3C21">
        <w:rPr>
          <w:lang w:val="en-US"/>
        </w:rPr>
        <w:t xml:space="preserve">Even though the formal language of gift-exchange was accepted by all sides, the parties concerned could place different value on certain aspects of this </w:t>
      </w:r>
      <w:r w:rsidR="001C0924">
        <w:rPr>
          <w:lang w:val="en-US"/>
        </w:rPr>
        <w:t xml:space="preserve">interaction. </w:t>
      </w:r>
    </w:p>
    <w:p w:rsidR="002A7644" w:rsidRDefault="00907059" w:rsidP="00184BC6">
      <w:pPr>
        <w:jc w:val="both"/>
        <w:rPr>
          <w:lang w:val="en-US"/>
        </w:rPr>
      </w:pPr>
      <w:r>
        <w:rPr>
          <w:lang w:val="en-US"/>
        </w:rPr>
        <w:t xml:space="preserve">Concurrently with the re-evaluation of gifts </w:t>
      </w:r>
      <w:r w:rsidRPr="00907059">
        <w:rPr>
          <w:i/>
          <w:iCs/>
          <w:lang w:val="en-US"/>
        </w:rPr>
        <w:t>given</w:t>
      </w:r>
      <w:r w:rsidR="008238C5">
        <w:rPr>
          <w:lang w:val="en-US"/>
        </w:rPr>
        <w:t>,</w:t>
      </w:r>
      <w:r>
        <w:rPr>
          <w:lang w:val="en-US"/>
        </w:rPr>
        <w:t xml:space="preserve"> the terminology </w:t>
      </w:r>
      <w:r w:rsidR="008238C5">
        <w:rPr>
          <w:lang w:val="en-US"/>
        </w:rPr>
        <w:t>used at the court also changed. T</w:t>
      </w:r>
      <w:r w:rsidR="00211FB6">
        <w:rPr>
          <w:lang w:val="en-US"/>
        </w:rPr>
        <w:t xml:space="preserve">he </w:t>
      </w:r>
      <w:r w:rsidR="00210A78">
        <w:rPr>
          <w:lang w:val="en-US"/>
        </w:rPr>
        <w:t xml:space="preserve">Manchu </w:t>
      </w:r>
      <w:r w:rsidR="00211FB6">
        <w:rPr>
          <w:lang w:val="en-US"/>
        </w:rPr>
        <w:t xml:space="preserve">expression used for </w:t>
      </w:r>
      <w:r w:rsidR="00184BC6">
        <w:rPr>
          <w:lang w:val="en-US"/>
        </w:rPr>
        <w:t xml:space="preserve">imperial </w:t>
      </w:r>
      <w:r w:rsidR="00211FB6">
        <w:rPr>
          <w:lang w:val="en-US"/>
        </w:rPr>
        <w:t>gift</w:t>
      </w:r>
      <w:r w:rsidR="00184BC6">
        <w:rPr>
          <w:lang w:val="en-US"/>
        </w:rPr>
        <w:t>s</w:t>
      </w:r>
      <w:r w:rsidR="00211FB6">
        <w:rPr>
          <w:lang w:val="en-US"/>
        </w:rPr>
        <w:t xml:space="preserve"> was </w:t>
      </w:r>
      <w:r w:rsidR="008238C5">
        <w:rPr>
          <w:lang w:val="en-US"/>
        </w:rPr>
        <w:t>no longer neutral</w:t>
      </w:r>
      <w:r w:rsidR="001C0924">
        <w:rPr>
          <w:lang w:val="en-US"/>
        </w:rPr>
        <w:t xml:space="preserve"> (</w:t>
      </w:r>
      <w:proofErr w:type="spellStart"/>
      <w:r w:rsidR="00977FCF" w:rsidRPr="00977FCF">
        <w:rPr>
          <w:i/>
          <w:lang w:val="en-US"/>
        </w:rPr>
        <w:t>būhengge</w:t>
      </w:r>
      <w:proofErr w:type="spellEnd"/>
      <w:r w:rsidR="00977FCF" w:rsidRPr="00977FCF">
        <w:rPr>
          <w:lang w:val="en-US"/>
        </w:rPr>
        <w:t xml:space="preserve"> </w:t>
      </w:r>
      <w:r w:rsidR="00977FCF">
        <w:rPr>
          <w:lang w:val="en-US"/>
        </w:rPr>
        <w:t>- “that what is given”</w:t>
      </w:r>
      <w:r w:rsidR="001C0924">
        <w:rPr>
          <w:lang w:val="en-US"/>
        </w:rPr>
        <w:t>)</w:t>
      </w:r>
      <w:r w:rsidR="006049F0">
        <w:rPr>
          <w:lang w:val="en-US"/>
        </w:rPr>
        <w:t xml:space="preserve"> (</w:t>
      </w:r>
      <w:r w:rsidR="006049F0" w:rsidRPr="006049F0">
        <w:rPr>
          <w:i/>
          <w:iCs/>
          <w:lang w:val="en-US"/>
        </w:rPr>
        <w:t xml:space="preserve">Jiu </w:t>
      </w:r>
      <w:proofErr w:type="spellStart"/>
      <w:r w:rsidR="006049F0" w:rsidRPr="006049F0">
        <w:rPr>
          <w:i/>
          <w:iCs/>
          <w:lang w:val="en-US"/>
        </w:rPr>
        <w:t>Manzhou</w:t>
      </w:r>
      <w:proofErr w:type="spellEnd"/>
      <w:r w:rsidR="006049F0" w:rsidRPr="006049F0">
        <w:rPr>
          <w:i/>
          <w:iCs/>
          <w:lang w:val="en-US"/>
        </w:rPr>
        <w:t xml:space="preserve"> Dang</w:t>
      </w:r>
      <w:r w:rsidR="006049F0" w:rsidRPr="006049F0">
        <w:rPr>
          <w:lang w:val="en-US"/>
        </w:rPr>
        <w:t xml:space="preserve"> </w:t>
      </w:r>
      <w:r w:rsidR="006049F0">
        <w:rPr>
          <w:lang w:val="en-US"/>
        </w:rPr>
        <w:t xml:space="preserve">1969: </w:t>
      </w:r>
      <w:r w:rsidR="009A410E">
        <w:rPr>
          <w:lang w:val="en-US"/>
        </w:rPr>
        <w:t>fol. 3378)</w:t>
      </w:r>
      <w:r w:rsidR="001C0924">
        <w:rPr>
          <w:lang w:val="en-US"/>
        </w:rPr>
        <w:t>,</w:t>
      </w:r>
      <w:r w:rsidR="008238C5">
        <w:rPr>
          <w:lang w:val="en-US"/>
        </w:rPr>
        <w:t xml:space="preserve"> but was now </w:t>
      </w:r>
      <w:proofErr w:type="spellStart"/>
      <w:r w:rsidR="00211FB6" w:rsidRPr="002F595D">
        <w:rPr>
          <w:i/>
          <w:lang w:val="en-US"/>
        </w:rPr>
        <w:t>šangnara</w:t>
      </w:r>
      <w:proofErr w:type="spellEnd"/>
      <w:r w:rsidR="002F595D">
        <w:rPr>
          <w:lang w:val="en-US"/>
        </w:rPr>
        <w:t>, which means “reward”.</w:t>
      </w:r>
      <w:r w:rsidR="009A410E">
        <w:rPr>
          <w:rStyle w:val="Endnotenzeichen"/>
          <w:lang w:val="en-US"/>
        </w:rPr>
        <w:endnoteReference w:id="18"/>
      </w:r>
      <w:r w:rsidR="002F595D">
        <w:rPr>
          <w:lang w:val="en-US"/>
        </w:rPr>
        <w:t xml:space="preserve"> </w:t>
      </w:r>
      <w:r w:rsidR="00101E81">
        <w:rPr>
          <w:lang w:val="en-US"/>
        </w:rPr>
        <w:t xml:space="preserve">This term over the Qing period was commonly used in the official correspondence of the </w:t>
      </w:r>
      <w:proofErr w:type="spellStart"/>
      <w:r w:rsidR="00101E81">
        <w:rPr>
          <w:lang w:val="en-US"/>
        </w:rPr>
        <w:t>Lifanyuan</w:t>
      </w:r>
      <w:proofErr w:type="spellEnd"/>
      <w:r w:rsidR="00101E81">
        <w:rPr>
          <w:lang w:val="en-US"/>
        </w:rPr>
        <w:t xml:space="preserve"> giving the impression that the issue was not a mutual gift-exchange. </w:t>
      </w:r>
      <w:r w:rsidR="00120976">
        <w:rPr>
          <w:lang w:val="en-US"/>
        </w:rPr>
        <w:t xml:space="preserve">The presents were no longer a means to express mutual respect, but were given in return </w:t>
      </w:r>
      <w:r w:rsidR="002D6FB5">
        <w:rPr>
          <w:lang w:val="en-US"/>
        </w:rPr>
        <w:t>for an open acknowledgment of Qing superiority and acceptance of a new hierarchical order.</w:t>
      </w:r>
      <w:r w:rsidR="00120976">
        <w:rPr>
          <w:lang w:val="en-US"/>
        </w:rPr>
        <w:t xml:space="preserve"> </w:t>
      </w:r>
      <w:r w:rsidR="009A410E" w:rsidRPr="009A410E">
        <w:rPr>
          <w:lang w:val="en-US"/>
        </w:rPr>
        <w:t>This is in accordance with the analysis of Chia Ning, who points out: “These gifts were granted in return for the pilgrims’ ritual performance to the emperor, rather than their gifts’ presented to the emperor, as in the Tribute” (1993: 66).</w:t>
      </w:r>
      <w:r w:rsidR="009A410E">
        <w:rPr>
          <w:lang w:val="en-US"/>
        </w:rPr>
        <w:t xml:space="preserve"> </w:t>
      </w:r>
      <w:r w:rsidR="00101E81">
        <w:rPr>
          <w:lang w:val="en-US"/>
        </w:rPr>
        <w:t xml:space="preserve">The fact that the emperor likewise had received gifts, and, in this sense, was under the obligation to reciprocate was downplayed. </w:t>
      </w:r>
      <w:r w:rsidR="00AB75F3">
        <w:rPr>
          <w:lang w:val="en-US"/>
        </w:rPr>
        <w:t xml:space="preserve">In the </w:t>
      </w:r>
      <w:r w:rsidR="00257056" w:rsidRPr="00257056">
        <w:rPr>
          <w:i/>
          <w:lang w:val="en-US"/>
        </w:rPr>
        <w:t xml:space="preserve">Jiu </w:t>
      </w:r>
      <w:proofErr w:type="spellStart"/>
      <w:r w:rsidR="00257056" w:rsidRPr="00257056">
        <w:rPr>
          <w:i/>
          <w:lang w:val="en-US"/>
        </w:rPr>
        <w:t>Manzhou</w:t>
      </w:r>
      <w:proofErr w:type="spellEnd"/>
      <w:r w:rsidR="00257056" w:rsidRPr="00257056">
        <w:rPr>
          <w:i/>
          <w:lang w:val="en-US"/>
        </w:rPr>
        <w:t xml:space="preserve"> Dang</w:t>
      </w:r>
      <w:r w:rsidR="00AB75F3">
        <w:rPr>
          <w:lang w:val="en-US"/>
        </w:rPr>
        <w:t xml:space="preserve">, </w:t>
      </w:r>
      <w:r w:rsidR="004A02A8">
        <w:rPr>
          <w:lang w:val="en-US"/>
        </w:rPr>
        <w:t xml:space="preserve">the records made before the conquest of China, </w:t>
      </w:r>
      <w:r w:rsidR="002A7644" w:rsidRPr="002A7644">
        <w:rPr>
          <w:lang w:val="en-US"/>
        </w:rPr>
        <w:t xml:space="preserve">the </w:t>
      </w:r>
      <w:r w:rsidR="00D30F18">
        <w:rPr>
          <w:lang w:val="en-US"/>
        </w:rPr>
        <w:t xml:space="preserve">Manchu </w:t>
      </w:r>
      <w:r w:rsidR="002A7644" w:rsidRPr="002A7644">
        <w:rPr>
          <w:lang w:val="en-US"/>
        </w:rPr>
        <w:t xml:space="preserve">term </w:t>
      </w:r>
      <w:proofErr w:type="spellStart"/>
      <w:r w:rsidR="002A7644" w:rsidRPr="002A7644">
        <w:rPr>
          <w:i/>
          <w:lang w:val="en-US"/>
        </w:rPr>
        <w:t>šangnambi</w:t>
      </w:r>
      <w:proofErr w:type="spellEnd"/>
      <w:r w:rsidR="002A7644">
        <w:rPr>
          <w:lang w:val="en-US"/>
        </w:rPr>
        <w:t xml:space="preserve"> “to reward” </w:t>
      </w:r>
      <w:r w:rsidR="00257056">
        <w:rPr>
          <w:lang w:val="en-US"/>
        </w:rPr>
        <w:t xml:space="preserve">was also used but it </w:t>
      </w:r>
      <w:r w:rsidR="002A7644">
        <w:rPr>
          <w:lang w:val="en-US"/>
        </w:rPr>
        <w:t>seems to have been reserved for objects given to envoys</w:t>
      </w:r>
      <w:r w:rsidR="00152FCA">
        <w:rPr>
          <w:lang w:val="en-US"/>
        </w:rPr>
        <w:t xml:space="preserve"> </w:t>
      </w:r>
      <w:r w:rsidR="0070409B">
        <w:rPr>
          <w:lang w:val="en-US"/>
        </w:rPr>
        <w:t xml:space="preserve">commuting between the Manchu court and </w:t>
      </w:r>
      <w:r w:rsidR="002C1D00">
        <w:rPr>
          <w:lang w:val="en-US"/>
        </w:rPr>
        <w:t>Mongol</w:t>
      </w:r>
      <w:r w:rsidR="0070409B">
        <w:rPr>
          <w:lang w:val="en-US"/>
        </w:rPr>
        <w:t xml:space="preserve"> </w:t>
      </w:r>
      <w:r w:rsidR="00257056">
        <w:rPr>
          <w:lang w:val="en-US"/>
        </w:rPr>
        <w:t>ruler</w:t>
      </w:r>
      <w:r w:rsidR="0070409B">
        <w:rPr>
          <w:lang w:val="en-US"/>
        </w:rPr>
        <w:t>s</w:t>
      </w:r>
      <w:r w:rsidR="00257056">
        <w:rPr>
          <w:lang w:val="en-US"/>
        </w:rPr>
        <w:t>. F</w:t>
      </w:r>
      <w:r w:rsidR="002A7644">
        <w:rPr>
          <w:lang w:val="en-US"/>
        </w:rPr>
        <w:t xml:space="preserve">or gifts bestowed on representatives from </w:t>
      </w:r>
      <w:r w:rsidR="002C1D00">
        <w:rPr>
          <w:lang w:val="en-US"/>
        </w:rPr>
        <w:t>Mongol</w:t>
      </w:r>
      <w:r w:rsidR="002A7644">
        <w:rPr>
          <w:lang w:val="en-US"/>
        </w:rPr>
        <w:t xml:space="preserve"> confederations</w:t>
      </w:r>
      <w:r w:rsidR="0070409B">
        <w:rPr>
          <w:lang w:val="en-US"/>
        </w:rPr>
        <w:t xml:space="preserve">, who </w:t>
      </w:r>
      <w:r w:rsidR="00CD71E4">
        <w:rPr>
          <w:lang w:val="en-US"/>
        </w:rPr>
        <w:t xml:space="preserve">had </w:t>
      </w:r>
      <w:r w:rsidR="0070409B">
        <w:rPr>
          <w:lang w:val="en-US"/>
        </w:rPr>
        <w:t>c</w:t>
      </w:r>
      <w:r w:rsidR="00CD71E4">
        <w:rPr>
          <w:lang w:val="en-US"/>
        </w:rPr>
        <w:t>o</w:t>
      </w:r>
      <w:r w:rsidR="0070409B">
        <w:rPr>
          <w:lang w:val="en-US"/>
        </w:rPr>
        <w:t>me to the court in person,</w:t>
      </w:r>
      <w:r w:rsidR="002A7644">
        <w:rPr>
          <w:lang w:val="en-US"/>
        </w:rPr>
        <w:t xml:space="preserve"> the more neutral term </w:t>
      </w:r>
      <w:proofErr w:type="spellStart"/>
      <w:r w:rsidR="00101E81">
        <w:rPr>
          <w:i/>
          <w:lang w:val="en-US"/>
        </w:rPr>
        <w:t>bu</w:t>
      </w:r>
      <w:r w:rsidR="00101E81" w:rsidRPr="006F3A64">
        <w:rPr>
          <w:i/>
          <w:lang w:val="en-US"/>
        </w:rPr>
        <w:t>m</w:t>
      </w:r>
      <w:r w:rsidR="00101E81" w:rsidRPr="00AB75F3">
        <w:rPr>
          <w:i/>
          <w:lang w:val="en-US"/>
        </w:rPr>
        <w:t>bi</w:t>
      </w:r>
      <w:proofErr w:type="spellEnd"/>
      <w:r w:rsidR="00101E81">
        <w:rPr>
          <w:lang w:val="en-US"/>
        </w:rPr>
        <w:t xml:space="preserve"> </w:t>
      </w:r>
      <w:r w:rsidR="00120976">
        <w:rPr>
          <w:lang w:val="en-US"/>
        </w:rPr>
        <w:t xml:space="preserve">“to give, to hand over” </w:t>
      </w:r>
      <w:r w:rsidR="002A7644">
        <w:rPr>
          <w:lang w:val="en-US"/>
        </w:rPr>
        <w:t>was used.</w:t>
      </w:r>
      <w:r w:rsidR="009A410E">
        <w:rPr>
          <w:rStyle w:val="Endnotenzeichen"/>
          <w:lang w:val="en-US"/>
        </w:rPr>
        <w:endnoteReference w:id="19"/>
      </w:r>
    </w:p>
    <w:p w:rsidR="0070409B" w:rsidRDefault="0070409B" w:rsidP="000A219D">
      <w:pPr>
        <w:rPr>
          <w:lang w:val="en-US"/>
        </w:rPr>
      </w:pPr>
    </w:p>
    <w:p w:rsidR="0039797F" w:rsidRDefault="00101E81" w:rsidP="00101E81">
      <w:pPr>
        <w:jc w:val="both"/>
        <w:rPr>
          <w:lang w:val="en-US"/>
        </w:rPr>
      </w:pPr>
      <w:r>
        <w:rPr>
          <w:lang w:val="en-US"/>
        </w:rPr>
        <w:t>From this we may conclude</w:t>
      </w:r>
      <w:r w:rsidR="0038646A">
        <w:rPr>
          <w:lang w:val="en-US"/>
        </w:rPr>
        <w:t xml:space="preserve"> that </w:t>
      </w:r>
      <w:r w:rsidR="00255452">
        <w:rPr>
          <w:lang w:val="en-US"/>
        </w:rPr>
        <w:t xml:space="preserve">in the Shunzhi period, </w:t>
      </w:r>
      <w:r w:rsidR="00064E24">
        <w:rPr>
          <w:lang w:val="en-US"/>
        </w:rPr>
        <w:t>that is</w:t>
      </w:r>
      <w:r w:rsidR="00255452">
        <w:rPr>
          <w:lang w:val="en-US"/>
        </w:rPr>
        <w:t xml:space="preserve"> the years after the Qing emperors had tak</w:t>
      </w:r>
      <w:r w:rsidR="00B33FA2">
        <w:rPr>
          <w:lang w:val="en-US"/>
        </w:rPr>
        <w:t>en</w:t>
      </w:r>
      <w:r w:rsidR="00255452">
        <w:rPr>
          <w:lang w:val="en-US"/>
        </w:rPr>
        <w:t xml:space="preserve"> residence in Beijing, the emperor </w:t>
      </w:r>
      <w:r w:rsidR="00BA185B">
        <w:rPr>
          <w:lang w:val="en-US"/>
        </w:rPr>
        <w:t xml:space="preserve">aimed at </w:t>
      </w:r>
      <w:r w:rsidR="00B33FA2">
        <w:rPr>
          <w:lang w:val="en-US"/>
        </w:rPr>
        <w:t>setting out his position</w:t>
      </w:r>
      <w:r w:rsidR="00255452">
        <w:rPr>
          <w:lang w:val="en-US"/>
        </w:rPr>
        <w:t xml:space="preserve"> as the one who gives, not as the one who receives.</w:t>
      </w:r>
      <w:r>
        <w:rPr>
          <w:lang w:val="en-US"/>
        </w:rPr>
        <w:t xml:space="preserve"> </w:t>
      </w:r>
      <w:r w:rsidR="007D2747">
        <w:rPr>
          <w:lang w:val="en-US"/>
        </w:rPr>
        <w:t xml:space="preserve">To be clear, this was a matter of </w:t>
      </w:r>
      <w:r w:rsidR="00152FCA">
        <w:rPr>
          <w:lang w:val="en-US"/>
        </w:rPr>
        <w:t>self-conception</w:t>
      </w:r>
      <w:r w:rsidR="007D2747">
        <w:rPr>
          <w:lang w:val="en-US"/>
        </w:rPr>
        <w:t xml:space="preserve"> and does not mean that gift transactions had indeed become unidirectional. It would be a mistake to assume that there were no regulations or conventions regarding </w:t>
      </w:r>
      <w:r w:rsidR="00255452">
        <w:rPr>
          <w:lang w:val="en-US"/>
        </w:rPr>
        <w:t xml:space="preserve">the </w:t>
      </w:r>
      <w:r w:rsidR="007B58CD">
        <w:rPr>
          <w:lang w:val="en-US"/>
        </w:rPr>
        <w:t>gifts Mongols were expected to bring to the capital</w:t>
      </w:r>
      <w:r w:rsidR="00B33FA2">
        <w:rPr>
          <w:lang w:val="en-US"/>
        </w:rPr>
        <w:t xml:space="preserve"> </w:t>
      </w:r>
      <w:r w:rsidR="008C799E">
        <w:rPr>
          <w:lang w:val="en-US"/>
        </w:rPr>
        <w:t>when they came for the New Year</w:t>
      </w:r>
      <w:r w:rsidR="00B723F8">
        <w:rPr>
          <w:lang w:val="en-US"/>
        </w:rPr>
        <w:t>’</w:t>
      </w:r>
      <w:r w:rsidR="008C799E">
        <w:rPr>
          <w:lang w:val="en-US"/>
        </w:rPr>
        <w:t xml:space="preserve">s ceremony </w:t>
      </w:r>
      <w:r w:rsidR="00B33FA2">
        <w:rPr>
          <w:lang w:val="en-US"/>
        </w:rPr>
        <w:t>or</w:t>
      </w:r>
      <w:r w:rsidR="007D2747">
        <w:rPr>
          <w:lang w:val="en-US"/>
        </w:rPr>
        <w:t>,</w:t>
      </w:r>
      <w:r w:rsidR="00E27A08">
        <w:rPr>
          <w:lang w:val="en-US"/>
        </w:rPr>
        <w:t xml:space="preserve"> even less, </w:t>
      </w:r>
      <w:r w:rsidR="00B33FA2">
        <w:rPr>
          <w:lang w:val="en-US"/>
        </w:rPr>
        <w:t>that Mongols</w:t>
      </w:r>
      <w:r w:rsidR="007D2747">
        <w:rPr>
          <w:lang w:val="en-US"/>
        </w:rPr>
        <w:t xml:space="preserve"> came to the court empty-handedly</w:t>
      </w:r>
      <w:r w:rsidR="007B58CD">
        <w:rPr>
          <w:lang w:val="en-US"/>
        </w:rPr>
        <w:t xml:space="preserve">. </w:t>
      </w:r>
      <w:r w:rsidR="008C799E">
        <w:rPr>
          <w:lang w:val="en-US"/>
        </w:rPr>
        <w:t>Moreover, i</w:t>
      </w:r>
      <w:r w:rsidR="00814FB9">
        <w:rPr>
          <w:lang w:val="en-US"/>
        </w:rPr>
        <w:t xml:space="preserve">n addition to the gift exchange performed on the occasion of </w:t>
      </w:r>
      <w:r w:rsidR="002C1D00">
        <w:rPr>
          <w:lang w:val="en-US"/>
        </w:rPr>
        <w:t>Mongol</w:t>
      </w:r>
      <w:r w:rsidR="00814FB9">
        <w:rPr>
          <w:lang w:val="en-US"/>
        </w:rPr>
        <w:t xml:space="preserve"> noble’s visit to the court, there were also other transactions</w:t>
      </w:r>
      <w:r w:rsidR="001D3E7A">
        <w:rPr>
          <w:lang w:val="en-US"/>
        </w:rPr>
        <w:t>, which are usually classified as tribute</w:t>
      </w:r>
      <w:r w:rsidR="00E27A08" w:rsidRPr="00E27A08">
        <w:rPr>
          <w:lang w:val="en-US"/>
        </w:rPr>
        <w:t xml:space="preserve"> </w:t>
      </w:r>
      <w:r w:rsidR="00E27A08">
        <w:rPr>
          <w:lang w:val="en-US"/>
        </w:rPr>
        <w:t>(</w:t>
      </w:r>
      <w:proofErr w:type="spellStart"/>
      <w:r w:rsidR="00E27A08" w:rsidRPr="00E27A08">
        <w:rPr>
          <w:lang w:val="en-US"/>
        </w:rPr>
        <w:t>Bao</w:t>
      </w:r>
      <w:proofErr w:type="spellEnd"/>
      <w:r w:rsidR="00E27A08">
        <w:rPr>
          <w:lang w:val="en-US"/>
        </w:rPr>
        <w:t xml:space="preserve"> 2006)</w:t>
      </w:r>
      <w:r w:rsidR="001D3E7A">
        <w:rPr>
          <w:lang w:val="en-US"/>
        </w:rPr>
        <w:t xml:space="preserve">. </w:t>
      </w:r>
      <w:r w:rsidR="00914DC5">
        <w:rPr>
          <w:lang w:val="en-US"/>
        </w:rPr>
        <w:t>Tribute could be presented at the court by envoys, but it did also have a frontier dimension, which was less subjected to clear rules</w:t>
      </w:r>
      <w:r w:rsidR="00E27A08" w:rsidRPr="00E27A08">
        <w:rPr>
          <w:lang w:val="en-US"/>
        </w:rPr>
        <w:t xml:space="preserve"> </w:t>
      </w:r>
      <w:r w:rsidR="00E27A08">
        <w:rPr>
          <w:lang w:val="en-US"/>
        </w:rPr>
        <w:t>(</w:t>
      </w:r>
      <w:r w:rsidR="00E27A08" w:rsidRPr="00E27A08">
        <w:rPr>
          <w:lang w:val="en-US"/>
        </w:rPr>
        <w:t>Di Cosmo</w:t>
      </w:r>
      <w:r w:rsidR="00E27A08">
        <w:rPr>
          <w:lang w:val="en-US"/>
        </w:rPr>
        <w:t xml:space="preserve"> 2003:</w:t>
      </w:r>
      <w:r w:rsidR="00E27A08" w:rsidRPr="00E27A08">
        <w:rPr>
          <w:lang w:val="en-US"/>
        </w:rPr>
        <w:t xml:space="preserve"> 355</w:t>
      </w:r>
      <w:r w:rsidR="00E27A08">
        <w:rPr>
          <w:lang w:val="en-US"/>
        </w:rPr>
        <w:t>)</w:t>
      </w:r>
      <w:r w:rsidR="00914DC5">
        <w:rPr>
          <w:lang w:val="en-US"/>
        </w:rPr>
        <w:t>.</w:t>
      </w:r>
      <w:r w:rsidR="003A2D65">
        <w:rPr>
          <w:lang w:val="en-US"/>
        </w:rPr>
        <w:t xml:space="preserve"> </w:t>
      </w:r>
      <w:r w:rsidR="007B58CD">
        <w:rPr>
          <w:lang w:val="en-US"/>
        </w:rPr>
        <w:t>The “Inter</w:t>
      </w:r>
      <w:r w:rsidR="00B33FA2">
        <w:rPr>
          <w:lang w:val="en-US"/>
        </w:rPr>
        <w:t xml:space="preserve">nal Copy of the </w:t>
      </w:r>
      <w:proofErr w:type="spellStart"/>
      <w:r w:rsidR="00B33FA2">
        <w:rPr>
          <w:lang w:val="en-US"/>
        </w:rPr>
        <w:t>Lifanyuan</w:t>
      </w:r>
      <w:proofErr w:type="spellEnd"/>
      <w:r w:rsidR="00B33FA2">
        <w:rPr>
          <w:lang w:val="en-US"/>
        </w:rPr>
        <w:t xml:space="preserve"> </w:t>
      </w:r>
      <w:proofErr w:type="spellStart"/>
      <w:r w:rsidR="00B33FA2">
        <w:rPr>
          <w:lang w:val="en-US"/>
        </w:rPr>
        <w:t>Zeli</w:t>
      </w:r>
      <w:proofErr w:type="spellEnd"/>
      <w:r w:rsidR="00B33FA2">
        <w:rPr>
          <w:lang w:val="en-US"/>
        </w:rPr>
        <w:t>”</w:t>
      </w:r>
      <w:r w:rsidR="007B58CD">
        <w:rPr>
          <w:lang w:val="en-US"/>
        </w:rPr>
        <w:t xml:space="preserve">, for example, includes some quotas for horses </w:t>
      </w:r>
      <w:r w:rsidR="009A008F">
        <w:rPr>
          <w:lang w:val="en-US"/>
        </w:rPr>
        <w:t xml:space="preserve">and azurite </w:t>
      </w:r>
      <w:r w:rsidR="007B58CD">
        <w:rPr>
          <w:lang w:val="en-US"/>
        </w:rPr>
        <w:t xml:space="preserve">the </w:t>
      </w:r>
      <w:proofErr w:type="spellStart"/>
      <w:r w:rsidR="007B58CD">
        <w:rPr>
          <w:lang w:val="en-US"/>
        </w:rPr>
        <w:t>Tümed</w:t>
      </w:r>
      <w:proofErr w:type="spellEnd"/>
      <w:r w:rsidR="007B58CD">
        <w:rPr>
          <w:lang w:val="en-US"/>
        </w:rPr>
        <w:t xml:space="preserve"> of Hohhot were supposed to </w:t>
      </w:r>
      <w:r w:rsidR="009A008F">
        <w:rPr>
          <w:lang w:val="en-US"/>
        </w:rPr>
        <w:t>supply</w:t>
      </w:r>
      <w:r w:rsidR="007D2747">
        <w:rPr>
          <w:lang w:val="en-US"/>
        </w:rPr>
        <w:t xml:space="preserve"> dating from 1645 and</w:t>
      </w:r>
      <w:r w:rsidR="008C799E">
        <w:rPr>
          <w:lang w:val="en-US"/>
        </w:rPr>
        <w:t xml:space="preserve"> </w:t>
      </w:r>
      <w:r w:rsidR="007D2747">
        <w:rPr>
          <w:lang w:val="en-US"/>
        </w:rPr>
        <w:t>1657</w:t>
      </w:r>
      <w:r w:rsidR="007B58CD">
        <w:rPr>
          <w:lang w:val="en-US"/>
        </w:rPr>
        <w:t>.</w:t>
      </w:r>
      <w:r w:rsidR="00BA185B">
        <w:rPr>
          <w:lang w:val="en-US"/>
        </w:rPr>
        <w:t xml:space="preserve"> Another regulation concerning </w:t>
      </w:r>
      <w:r w:rsidR="001D3E7A">
        <w:rPr>
          <w:lang w:val="en-US"/>
        </w:rPr>
        <w:t>tribute</w:t>
      </w:r>
      <w:r w:rsidR="00BA185B">
        <w:rPr>
          <w:lang w:val="en-US"/>
        </w:rPr>
        <w:t xml:space="preserve"> to be p</w:t>
      </w:r>
      <w:r w:rsidR="001D3E7A">
        <w:rPr>
          <w:lang w:val="en-US"/>
        </w:rPr>
        <w:t>aid</w:t>
      </w:r>
      <w:r w:rsidR="00BA185B">
        <w:rPr>
          <w:lang w:val="en-US"/>
        </w:rPr>
        <w:t xml:space="preserve"> from the </w:t>
      </w:r>
      <w:proofErr w:type="spellStart"/>
      <w:r w:rsidR="00BA185B" w:rsidRPr="00BA185B">
        <w:rPr>
          <w:lang w:val="en-US"/>
        </w:rPr>
        <w:t>Qorčin</w:t>
      </w:r>
      <w:proofErr w:type="spellEnd"/>
      <w:r w:rsidR="00BA185B" w:rsidRPr="00BA185B">
        <w:rPr>
          <w:lang w:val="en-US"/>
        </w:rPr>
        <w:t xml:space="preserve"> and other </w:t>
      </w:r>
      <w:r w:rsidR="002C1D00">
        <w:rPr>
          <w:lang w:val="en-US"/>
        </w:rPr>
        <w:t>Mongol</w:t>
      </w:r>
      <w:r w:rsidR="00BA185B" w:rsidRPr="00BA185B">
        <w:rPr>
          <w:lang w:val="en-US"/>
        </w:rPr>
        <w:t xml:space="preserve"> banners dates from 1674</w:t>
      </w:r>
      <w:r w:rsidR="00E27A08" w:rsidRPr="00E27A08">
        <w:rPr>
          <w:i/>
          <w:lang w:val="en-US"/>
        </w:rPr>
        <w:t xml:space="preserve"> </w:t>
      </w:r>
      <w:r w:rsidR="00E27A08">
        <w:rPr>
          <w:iCs/>
          <w:lang w:val="en-US"/>
        </w:rPr>
        <w:t>(</w:t>
      </w:r>
      <w:r w:rsidR="00E27A08" w:rsidRPr="00E27A08">
        <w:rPr>
          <w:i/>
          <w:lang w:val="en-US"/>
        </w:rPr>
        <w:t xml:space="preserve">Qianlong </w:t>
      </w:r>
      <w:proofErr w:type="spellStart"/>
      <w:r w:rsidR="00E27A08" w:rsidRPr="00E27A08">
        <w:rPr>
          <w:i/>
          <w:lang w:val="en-US"/>
        </w:rPr>
        <w:t>chao</w:t>
      </w:r>
      <w:proofErr w:type="spellEnd"/>
      <w:r w:rsidR="00E27A08" w:rsidRPr="00E27A08">
        <w:rPr>
          <w:i/>
          <w:lang w:val="en-US"/>
        </w:rPr>
        <w:t xml:space="preserve"> </w:t>
      </w:r>
      <w:proofErr w:type="spellStart"/>
      <w:r w:rsidR="00E27A08" w:rsidRPr="00E27A08">
        <w:rPr>
          <w:i/>
          <w:lang w:val="en-US"/>
        </w:rPr>
        <w:t>neifu</w:t>
      </w:r>
      <w:proofErr w:type="spellEnd"/>
      <w:r w:rsidR="00E27A08" w:rsidRPr="00E27A08">
        <w:rPr>
          <w:i/>
          <w:lang w:val="en-US"/>
        </w:rPr>
        <w:t xml:space="preserve"> </w:t>
      </w:r>
      <w:proofErr w:type="spellStart"/>
      <w:r w:rsidR="00E27A08" w:rsidRPr="00E27A08">
        <w:rPr>
          <w:i/>
          <w:lang w:val="en-US"/>
        </w:rPr>
        <w:t>chaoben</w:t>
      </w:r>
      <w:proofErr w:type="spellEnd"/>
      <w:r w:rsidR="00E27A08">
        <w:rPr>
          <w:iCs/>
          <w:lang w:val="en-US"/>
        </w:rPr>
        <w:t xml:space="preserve"> 2006:</w:t>
      </w:r>
      <w:r w:rsidR="00E27A08" w:rsidRPr="00E27A08">
        <w:rPr>
          <w:lang w:val="en-US"/>
        </w:rPr>
        <w:t xml:space="preserve"> 70</w:t>
      </w:r>
      <w:r w:rsidR="00E27A08">
        <w:rPr>
          <w:lang w:val="en-US"/>
        </w:rPr>
        <w:t>)</w:t>
      </w:r>
      <w:r w:rsidR="007B58CD" w:rsidRPr="00BA185B">
        <w:rPr>
          <w:lang w:val="en-US"/>
        </w:rPr>
        <w:t xml:space="preserve"> </w:t>
      </w:r>
      <w:r w:rsidR="008C799E">
        <w:rPr>
          <w:lang w:val="en-US"/>
        </w:rPr>
        <w:t>- and also shows that in the decades after the conquest of Beijing provisions were made for tribute relations</w:t>
      </w:r>
      <w:r w:rsidR="00914DC5">
        <w:rPr>
          <w:lang w:val="en-US"/>
        </w:rPr>
        <w:t>, which did have commercial significance</w:t>
      </w:r>
      <w:r w:rsidR="008C799E">
        <w:rPr>
          <w:lang w:val="en-US"/>
        </w:rPr>
        <w:t xml:space="preserve">. </w:t>
      </w:r>
      <w:r w:rsidR="007D2747">
        <w:rPr>
          <w:lang w:val="en-US"/>
        </w:rPr>
        <w:t>A</w:t>
      </w:r>
      <w:r w:rsidR="007B58CD" w:rsidRPr="00BA185B">
        <w:rPr>
          <w:lang w:val="en-US"/>
        </w:rPr>
        <w:t>ccording to the findings</w:t>
      </w:r>
      <w:r w:rsidR="007B58CD">
        <w:rPr>
          <w:lang w:val="en-US"/>
        </w:rPr>
        <w:t xml:space="preserve"> of Chia Ning, </w:t>
      </w:r>
      <w:r w:rsidR="00B62BD2">
        <w:rPr>
          <w:lang w:val="en-US"/>
        </w:rPr>
        <w:t xml:space="preserve">however, </w:t>
      </w:r>
      <w:r w:rsidR="007B58CD">
        <w:rPr>
          <w:lang w:val="en-US"/>
        </w:rPr>
        <w:t>there is plent</w:t>
      </w:r>
      <w:r w:rsidR="00A47506">
        <w:rPr>
          <w:lang w:val="en-US"/>
        </w:rPr>
        <w:t xml:space="preserve">y of evidence that the </w:t>
      </w:r>
      <w:r w:rsidR="00A47506" w:rsidRPr="00A47506">
        <w:rPr>
          <w:lang w:val="en-US"/>
        </w:rPr>
        <w:t>Kangxi- (1662–1722)</w:t>
      </w:r>
      <w:r w:rsidR="00A47506">
        <w:rPr>
          <w:lang w:val="en-US"/>
        </w:rPr>
        <w:t xml:space="preserve"> </w:t>
      </w:r>
      <w:r w:rsidR="00A47506" w:rsidRPr="00A47506">
        <w:rPr>
          <w:lang w:val="en-US"/>
        </w:rPr>
        <w:t>a</w:t>
      </w:r>
      <w:r w:rsidR="007B58CD" w:rsidRPr="00A47506">
        <w:rPr>
          <w:lang w:val="en-US"/>
        </w:rPr>
        <w:t>nd</w:t>
      </w:r>
      <w:r w:rsidR="007B58CD">
        <w:rPr>
          <w:lang w:val="en-US"/>
        </w:rPr>
        <w:t xml:space="preserve"> Qianlong</w:t>
      </w:r>
      <w:r w:rsidR="00A47506">
        <w:rPr>
          <w:lang w:val="en-US"/>
        </w:rPr>
        <w:t>-</w:t>
      </w:r>
      <w:r w:rsidR="007B58CD">
        <w:rPr>
          <w:lang w:val="en-US"/>
        </w:rPr>
        <w:t xml:space="preserve"> </w:t>
      </w:r>
      <w:r w:rsidR="004F15F0">
        <w:rPr>
          <w:lang w:val="en-US"/>
        </w:rPr>
        <w:t xml:space="preserve">(1736-1795) </w:t>
      </w:r>
      <w:r w:rsidR="007B58CD">
        <w:rPr>
          <w:lang w:val="en-US"/>
        </w:rPr>
        <w:t xml:space="preserve">emperors </w:t>
      </w:r>
      <w:r w:rsidR="00BA185B">
        <w:rPr>
          <w:lang w:val="en-US"/>
        </w:rPr>
        <w:t>did not try to increase but rather</w:t>
      </w:r>
      <w:r w:rsidR="007B58CD">
        <w:rPr>
          <w:lang w:val="en-US"/>
        </w:rPr>
        <w:t xml:space="preserve"> tried to limit the amount of tribute goods presented by Mongols</w:t>
      </w:r>
      <w:r w:rsidR="00E27A08" w:rsidRPr="00E27A08">
        <w:rPr>
          <w:lang w:val="en-US"/>
        </w:rPr>
        <w:t xml:space="preserve"> </w:t>
      </w:r>
      <w:r w:rsidR="00E27A08">
        <w:rPr>
          <w:lang w:val="en-US"/>
        </w:rPr>
        <w:t>(</w:t>
      </w:r>
      <w:r w:rsidR="00E27A08" w:rsidRPr="00E27A08">
        <w:rPr>
          <w:lang w:val="en-US"/>
        </w:rPr>
        <w:t>Chia</w:t>
      </w:r>
      <w:r w:rsidR="00E27A08">
        <w:rPr>
          <w:lang w:val="en-US"/>
        </w:rPr>
        <w:t xml:space="preserve"> 1993:</w:t>
      </w:r>
      <w:r w:rsidR="00E27A08" w:rsidRPr="00E27A08">
        <w:rPr>
          <w:lang w:val="en-US"/>
        </w:rPr>
        <w:t xml:space="preserve"> 73-75</w:t>
      </w:r>
      <w:r w:rsidR="00E27A08">
        <w:rPr>
          <w:lang w:val="en-US"/>
        </w:rPr>
        <w:t>)</w:t>
      </w:r>
      <w:r w:rsidR="007B58CD">
        <w:rPr>
          <w:lang w:val="en-US"/>
        </w:rPr>
        <w:t>.</w:t>
      </w:r>
    </w:p>
    <w:p w:rsidR="00255452" w:rsidRDefault="00255452" w:rsidP="000A219D">
      <w:pPr>
        <w:rPr>
          <w:lang w:val="en-US"/>
        </w:rPr>
      </w:pPr>
    </w:p>
    <w:p w:rsidR="00A44425" w:rsidRDefault="00B33FA2" w:rsidP="008C799E">
      <w:pPr>
        <w:jc w:val="both"/>
        <w:rPr>
          <w:lang w:val="en-US"/>
        </w:rPr>
      </w:pPr>
      <w:r>
        <w:rPr>
          <w:lang w:val="en-US"/>
        </w:rPr>
        <w:t xml:space="preserve">When looking at the way how the Qing court tried to present itself we notice that </w:t>
      </w:r>
      <w:r w:rsidR="00A44425">
        <w:rPr>
          <w:lang w:val="en-US"/>
        </w:rPr>
        <w:t>the emphasis was on</w:t>
      </w:r>
      <w:r>
        <w:rPr>
          <w:lang w:val="en-US"/>
        </w:rPr>
        <w:t xml:space="preserve"> stat</w:t>
      </w:r>
      <w:r w:rsidR="00A44425">
        <w:rPr>
          <w:lang w:val="en-US"/>
        </w:rPr>
        <w:t>ing</w:t>
      </w:r>
      <w:r>
        <w:rPr>
          <w:lang w:val="en-US"/>
        </w:rPr>
        <w:t xml:space="preserve"> the generosity of the emperor</w:t>
      </w:r>
      <w:r w:rsidR="00A44425">
        <w:rPr>
          <w:lang w:val="en-US"/>
        </w:rPr>
        <w:t xml:space="preserve">. </w:t>
      </w:r>
      <w:r w:rsidR="00A952C5">
        <w:rPr>
          <w:lang w:val="en-US"/>
        </w:rPr>
        <w:t xml:space="preserve">This </w:t>
      </w:r>
      <w:r w:rsidR="00F756CE">
        <w:rPr>
          <w:lang w:val="en-US"/>
        </w:rPr>
        <w:t xml:space="preserve">becomes </w:t>
      </w:r>
      <w:r w:rsidR="00E64AF5">
        <w:rPr>
          <w:lang w:val="en-US"/>
        </w:rPr>
        <w:t xml:space="preserve">even more </w:t>
      </w:r>
      <w:r w:rsidR="00F756CE">
        <w:rPr>
          <w:lang w:val="en-US"/>
        </w:rPr>
        <w:t xml:space="preserve">apparent when </w:t>
      </w:r>
      <w:r w:rsidR="00E64AF5">
        <w:rPr>
          <w:lang w:val="en-US"/>
        </w:rPr>
        <w:t>we look</w:t>
      </w:r>
      <w:r w:rsidR="00F756CE">
        <w:rPr>
          <w:lang w:val="en-US"/>
        </w:rPr>
        <w:t xml:space="preserve"> at t</w:t>
      </w:r>
      <w:r w:rsidR="000A219D">
        <w:rPr>
          <w:lang w:val="en-US"/>
        </w:rPr>
        <w:t xml:space="preserve">he </w:t>
      </w:r>
      <w:r w:rsidR="000A219D">
        <w:rPr>
          <w:i/>
          <w:lang w:val="en-US"/>
        </w:rPr>
        <w:t xml:space="preserve">Huang Qing </w:t>
      </w:r>
      <w:proofErr w:type="spellStart"/>
      <w:r w:rsidR="000A219D">
        <w:rPr>
          <w:i/>
          <w:lang w:val="en-US"/>
        </w:rPr>
        <w:t>Kaiguo</w:t>
      </w:r>
      <w:proofErr w:type="spellEnd"/>
      <w:r w:rsidR="000A219D">
        <w:rPr>
          <w:i/>
          <w:lang w:val="en-US"/>
        </w:rPr>
        <w:t xml:space="preserve"> </w:t>
      </w:r>
      <w:proofErr w:type="spellStart"/>
      <w:r w:rsidR="000A219D">
        <w:rPr>
          <w:i/>
          <w:lang w:val="en-US"/>
        </w:rPr>
        <w:t>F</w:t>
      </w:r>
      <w:r w:rsidR="000A219D" w:rsidRPr="00DC73B0">
        <w:rPr>
          <w:i/>
          <w:lang w:val="en-US"/>
        </w:rPr>
        <w:t>anglüe</w:t>
      </w:r>
      <w:proofErr w:type="spellEnd"/>
      <w:r w:rsidR="000A219D">
        <w:rPr>
          <w:lang w:val="en-US"/>
        </w:rPr>
        <w:t xml:space="preserve">, </w:t>
      </w:r>
      <w:r w:rsidR="00F756CE">
        <w:rPr>
          <w:lang w:val="en-US"/>
        </w:rPr>
        <w:t>a compilation</w:t>
      </w:r>
      <w:r w:rsidR="000A219D">
        <w:rPr>
          <w:lang w:val="en-US"/>
        </w:rPr>
        <w:t xml:space="preserve"> commissioned in 1786 </w:t>
      </w:r>
      <w:r w:rsidR="0041668A">
        <w:rPr>
          <w:lang w:val="en-US"/>
        </w:rPr>
        <w:t>to glorify</w:t>
      </w:r>
      <w:r w:rsidR="000A219D">
        <w:rPr>
          <w:lang w:val="en-US"/>
        </w:rPr>
        <w:t xml:space="preserve"> the history o</w:t>
      </w:r>
      <w:r w:rsidR="002E0048">
        <w:rPr>
          <w:lang w:val="en-US"/>
        </w:rPr>
        <w:t xml:space="preserve">f the Manchu royal house before </w:t>
      </w:r>
      <w:r w:rsidR="000A219D">
        <w:rPr>
          <w:lang w:val="en-US"/>
        </w:rPr>
        <w:t>1644</w:t>
      </w:r>
      <w:r w:rsidR="00F756CE">
        <w:rPr>
          <w:lang w:val="en-US"/>
        </w:rPr>
        <w:t>.</w:t>
      </w:r>
      <w:r w:rsidR="000A219D">
        <w:rPr>
          <w:lang w:val="en-US"/>
        </w:rPr>
        <w:t xml:space="preserve"> </w:t>
      </w:r>
      <w:r w:rsidR="00F756CE">
        <w:rPr>
          <w:lang w:val="en-US"/>
        </w:rPr>
        <w:t xml:space="preserve">Its authors </w:t>
      </w:r>
      <w:r w:rsidR="000A219D">
        <w:rPr>
          <w:lang w:val="en-US"/>
        </w:rPr>
        <w:t xml:space="preserve">on many occasions elaborate on the lavish gifts granted by the Manchu ruler to his </w:t>
      </w:r>
      <w:r w:rsidR="002C1D00">
        <w:rPr>
          <w:lang w:val="en-US"/>
        </w:rPr>
        <w:t>Mongol</w:t>
      </w:r>
      <w:r w:rsidR="000A219D">
        <w:rPr>
          <w:lang w:val="en-US"/>
        </w:rPr>
        <w:t xml:space="preserve"> political partners. Gifts presented by Mongols, however, are usually only mentioned in passing and their value is </w:t>
      </w:r>
      <w:r w:rsidR="001C5747">
        <w:rPr>
          <w:lang w:val="en-US"/>
        </w:rPr>
        <w:t>made to appear insignificant</w:t>
      </w:r>
      <w:r w:rsidR="000A219D">
        <w:rPr>
          <w:lang w:val="en-US"/>
        </w:rPr>
        <w:t xml:space="preserve">. </w:t>
      </w:r>
      <w:r w:rsidR="00A44425">
        <w:rPr>
          <w:lang w:val="en-US"/>
        </w:rPr>
        <w:t>To draw an example, a</w:t>
      </w:r>
      <w:r w:rsidR="000A219D">
        <w:rPr>
          <w:lang w:val="en-US"/>
        </w:rPr>
        <w:t xml:space="preserve">ccording to the </w:t>
      </w:r>
      <w:r w:rsidR="000A219D">
        <w:rPr>
          <w:i/>
          <w:lang w:val="en-US"/>
        </w:rPr>
        <w:t xml:space="preserve">Huang Qing </w:t>
      </w:r>
      <w:proofErr w:type="spellStart"/>
      <w:r w:rsidR="000A219D">
        <w:rPr>
          <w:i/>
          <w:lang w:val="en-US"/>
        </w:rPr>
        <w:t>Kaiguo</w:t>
      </w:r>
      <w:proofErr w:type="spellEnd"/>
      <w:r w:rsidR="000A219D">
        <w:rPr>
          <w:i/>
          <w:lang w:val="en-US"/>
        </w:rPr>
        <w:t xml:space="preserve"> </w:t>
      </w:r>
      <w:proofErr w:type="spellStart"/>
      <w:r w:rsidR="000A219D">
        <w:rPr>
          <w:i/>
          <w:lang w:val="en-US"/>
        </w:rPr>
        <w:t>F</w:t>
      </w:r>
      <w:r w:rsidR="000A219D" w:rsidRPr="00DC73B0">
        <w:rPr>
          <w:i/>
          <w:lang w:val="en-US"/>
        </w:rPr>
        <w:t>anglüe</w:t>
      </w:r>
      <w:proofErr w:type="spellEnd"/>
      <w:r w:rsidR="000A219D">
        <w:rPr>
          <w:lang w:val="en-US"/>
        </w:rPr>
        <w:t xml:space="preserve">, members of the </w:t>
      </w:r>
      <w:proofErr w:type="spellStart"/>
      <w:r w:rsidR="0040767B">
        <w:rPr>
          <w:lang w:val="en-US"/>
        </w:rPr>
        <w:t>Sönid</w:t>
      </w:r>
      <w:proofErr w:type="spellEnd"/>
      <w:r w:rsidR="000A219D">
        <w:rPr>
          <w:lang w:val="en-US"/>
        </w:rPr>
        <w:t xml:space="preserve"> Mongols, among them the influential leader </w:t>
      </w:r>
      <w:proofErr w:type="spellStart"/>
      <w:r w:rsidR="000A219D">
        <w:rPr>
          <w:lang w:val="en-US"/>
        </w:rPr>
        <w:t>Tenggis</w:t>
      </w:r>
      <w:proofErr w:type="spellEnd"/>
      <w:r w:rsidR="000A219D">
        <w:rPr>
          <w:lang w:val="en-US"/>
        </w:rPr>
        <w:t>,</w:t>
      </w:r>
      <w:r w:rsidR="004459D0">
        <w:rPr>
          <w:rStyle w:val="Endnotenzeichen"/>
          <w:lang w:val="en-US"/>
        </w:rPr>
        <w:endnoteReference w:id="20"/>
      </w:r>
      <w:r w:rsidR="000A219D">
        <w:rPr>
          <w:lang w:val="en-US"/>
        </w:rPr>
        <w:t xml:space="preserve"> </w:t>
      </w:r>
      <w:r w:rsidR="00717569">
        <w:rPr>
          <w:lang w:val="en-US"/>
        </w:rPr>
        <w:t xml:space="preserve">in January 1640 </w:t>
      </w:r>
      <w:r w:rsidR="000A219D">
        <w:rPr>
          <w:lang w:val="en-US"/>
        </w:rPr>
        <w:t>came to the court</w:t>
      </w:r>
      <w:r w:rsidR="00717569">
        <w:rPr>
          <w:lang w:val="en-US"/>
        </w:rPr>
        <w:t xml:space="preserve"> in order to pay respect to Hong </w:t>
      </w:r>
      <w:proofErr w:type="spellStart"/>
      <w:r w:rsidR="00717569">
        <w:rPr>
          <w:lang w:val="en-US"/>
        </w:rPr>
        <w:t>Taiji</w:t>
      </w:r>
      <w:proofErr w:type="spellEnd"/>
      <w:r w:rsidR="000A219D">
        <w:rPr>
          <w:lang w:val="en-US"/>
        </w:rPr>
        <w:t xml:space="preserve"> and brought “horses and </w:t>
      </w:r>
      <w:r w:rsidR="000A219D">
        <w:rPr>
          <w:lang w:val="en-US"/>
        </w:rPr>
        <w:lastRenderedPageBreak/>
        <w:t xml:space="preserve">camels” as presents. In return, the Manchu ruler gave them valuable presents such as </w:t>
      </w:r>
      <w:r w:rsidR="00717569">
        <w:rPr>
          <w:lang w:val="en-US"/>
        </w:rPr>
        <w:t xml:space="preserve">suits of </w:t>
      </w:r>
      <w:proofErr w:type="spellStart"/>
      <w:r w:rsidR="00717569">
        <w:rPr>
          <w:lang w:val="en-US"/>
        </w:rPr>
        <w:t>armour</w:t>
      </w:r>
      <w:proofErr w:type="spellEnd"/>
      <w:r w:rsidR="000A219D">
        <w:rPr>
          <w:lang w:val="en-US"/>
        </w:rPr>
        <w:t xml:space="preserve">, </w:t>
      </w:r>
      <w:r w:rsidR="00717569">
        <w:rPr>
          <w:lang w:val="en-US"/>
        </w:rPr>
        <w:t xml:space="preserve">helmets, bows, arrows, </w:t>
      </w:r>
      <w:r w:rsidR="000A219D">
        <w:rPr>
          <w:lang w:val="en-US"/>
        </w:rPr>
        <w:t xml:space="preserve">clothes embroidered with sable fur, </w:t>
      </w:r>
      <w:r w:rsidR="00717569">
        <w:rPr>
          <w:lang w:val="en-US"/>
        </w:rPr>
        <w:t xml:space="preserve">clothes embroidered with dragons, </w:t>
      </w:r>
      <w:r w:rsidR="000A219D">
        <w:rPr>
          <w:lang w:val="en-US"/>
        </w:rPr>
        <w:t xml:space="preserve">caps, boots, belts, </w:t>
      </w:r>
      <w:r w:rsidR="00717569">
        <w:rPr>
          <w:lang w:val="en-US"/>
        </w:rPr>
        <w:t>furs and silver</w:t>
      </w:r>
      <w:r w:rsidR="004459D0" w:rsidRPr="004459D0">
        <w:rPr>
          <w:lang w:val="en-US"/>
        </w:rPr>
        <w:t xml:space="preserve"> </w:t>
      </w:r>
      <w:r w:rsidR="004459D0">
        <w:rPr>
          <w:lang w:val="en-US"/>
        </w:rPr>
        <w:t>(</w:t>
      </w:r>
      <w:proofErr w:type="spellStart"/>
      <w:r w:rsidR="004459D0" w:rsidRPr="004459D0">
        <w:rPr>
          <w:lang w:val="en-US"/>
        </w:rPr>
        <w:t>Hauer</w:t>
      </w:r>
      <w:proofErr w:type="spellEnd"/>
      <w:r w:rsidR="004459D0">
        <w:rPr>
          <w:lang w:val="en-US"/>
        </w:rPr>
        <w:t xml:space="preserve"> 1926:</w:t>
      </w:r>
      <w:r w:rsidR="004459D0" w:rsidRPr="004459D0">
        <w:rPr>
          <w:lang w:val="en-US"/>
        </w:rPr>
        <w:t xml:space="preserve"> 495/496</w:t>
      </w:r>
      <w:r w:rsidR="004459D0">
        <w:rPr>
          <w:lang w:val="en-US"/>
        </w:rPr>
        <w:t>)</w:t>
      </w:r>
      <w:r w:rsidR="000A219D">
        <w:rPr>
          <w:lang w:val="en-US"/>
        </w:rPr>
        <w:t xml:space="preserve">. </w:t>
      </w:r>
      <w:r w:rsidR="00133E22">
        <w:rPr>
          <w:lang w:val="en-US"/>
        </w:rPr>
        <w:t>The 18</w:t>
      </w:r>
      <w:r w:rsidR="00133E22" w:rsidRPr="00133E22">
        <w:rPr>
          <w:vertAlign w:val="superscript"/>
          <w:lang w:val="en-US"/>
        </w:rPr>
        <w:t>th</w:t>
      </w:r>
      <w:r w:rsidR="00133E22">
        <w:rPr>
          <w:lang w:val="en-US"/>
        </w:rPr>
        <w:t xml:space="preserve"> century source is very brief on the presents received by the court, but, instead, elaborates on the return presents.</w:t>
      </w:r>
    </w:p>
    <w:p w:rsidR="00A952C5" w:rsidRDefault="000A219D" w:rsidP="00133E22">
      <w:pPr>
        <w:jc w:val="both"/>
        <w:rPr>
          <w:lang w:val="en-US"/>
        </w:rPr>
      </w:pPr>
      <w:r>
        <w:rPr>
          <w:lang w:val="en-US"/>
        </w:rPr>
        <w:t>A document from January 20</w:t>
      </w:r>
      <w:r w:rsidRPr="00DC73B0">
        <w:rPr>
          <w:vertAlign w:val="superscript"/>
          <w:lang w:val="en-US"/>
        </w:rPr>
        <w:t>th</w:t>
      </w:r>
      <w:r>
        <w:rPr>
          <w:lang w:val="en-US"/>
        </w:rPr>
        <w:t>, 1640</w:t>
      </w:r>
      <w:r w:rsidR="00717569">
        <w:rPr>
          <w:lang w:val="en-US"/>
        </w:rPr>
        <w:t xml:space="preserve">, </w:t>
      </w:r>
      <w:r w:rsidR="008C799E">
        <w:rPr>
          <w:lang w:val="en-US"/>
        </w:rPr>
        <w:t xml:space="preserve">however, </w:t>
      </w:r>
      <w:r>
        <w:rPr>
          <w:lang w:val="en-US"/>
        </w:rPr>
        <w:t xml:space="preserve">relates a </w:t>
      </w:r>
      <w:r w:rsidR="00717569">
        <w:rPr>
          <w:lang w:val="en-US"/>
        </w:rPr>
        <w:t xml:space="preserve">somewhat </w:t>
      </w:r>
      <w:r>
        <w:rPr>
          <w:lang w:val="en-US"/>
        </w:rPr>
        <w:t>different story</w:t>
      </w:r>
      <w:r w:rsidR="00E64AF5">
        <w:rPr>
          <w:lang w:val="en-US"/>
        </w:rPr>
        <w:t xml:space="preserve"> of the </w:t>
      </w:r>
      <w:r w:rsidR="00133E22">
        <w:rPr>
          <w:lang w:val="en-US"/>
        </w:rPr>
        <w:t>same event</w:t>
      </w:r>
      <w:r>
        <w:rPr>
          <w:lang w:val="en-US"/>
        </w:rPr>
        <w:t xml:space="preserve">. </w:t>
      </w:r>
      <w:r w:rsidR="00E64AF5">
        <w:rPr>
          <w:lang w:val="en-US"/>
        </w:rPr>
        <w:t>At the time, a</w:t>
      </w:r>
      <w:r>
        <w:rPr>
          <w:lang w:val="en-US"/>
        </w:rPr>
        <w:t xml:space="preserve">ll presents received from </w:t>
      </w:r>
      <w:proofErr w:type="spellStart"/>
      <w:r w:rsidR="0040767B">
        <w:rPr>
          <w:lang w:val="en-US"/>
        </w:rPr>
        <w:t>Sönid</w:t>
      </w:r>
      <w:proofErr w:type="spellEnd"/>
      <w:r w:rsidR="00F756CE">
        <w:rPr>
          <w:lang w:val="en-US"/>
        </w:rPr>
        <w:t xml:space="preserve"> </w:t>
      </w:r>
      <w:r w:rsidR="002C1D00">
        <w:rPr>
          <w:lang w:val="en-US"/>
        </w:rPr>
        <w:t>Mongol</w:t>
      </w:r>
      <w:r>
        <w:rPr>
          <w:lang w:val="en-US"/>
        </w:rPr>
        <w:t xml:space="preserve"> leaders </w:t>
      </w:r>
      <w:r w:rsidR="00F756CE">
        <w:rPr>
          <w:lang w:val="en-US"/>
        </w:rPr>
        <w:t xml:space="preserve">in January 1640 </w:t>
      </w:r>
      <w:r w:rsidR="00E64AF5">
        <w:rPr>
          <w:lang w:val="en-US"/>
        </w:rPr>
        <w:t>we</w:t>
      </w:r>
      <w:r>
        <w:rPr>
          <w:lang w:val="en-US"/>
        </w:rPr>
        <w:t xml:space="preserve">re listed in detail. </w:t>
      </w:r>
      <w:r w:rsidR="008C799E">
        <w:rPr>
          <w:lang w:val="en-US"/>
        </w:rPr>
        <w:t>We learn that m</w:t>
      </w:r>
      <w:r>
        <w:rPr>
          <w:lang w:val="en-US"/>
        </w:rPr>
        <w:t xml:space="preserve">ost of them came with one or two </w:t>
      </w:r>
      <w:r w:rsidR="00717569">
        <w:rPr>
          <w:lang w:val="en-US"/>
        </w:rPr>
        <w:t>horses or camels</w:t>
      </w:r>
      <w:r w:rsidR="00F756CE">
        <w:rPr>
          <w:lang w:val="en-US"/>
        </w:rPr>
        <w:t>.</w:t>
      </w:r>
      <w:r>
        <w:rPr>
          <w:lang w:val="en-US"/>
        </w:rPr>
        <w:t xml:space="preserve"> </w:t>
      </w:r>
      <w:proofErr w:type="spellStart"/>
      <w:r>
        <w:rPr>
          <w:lang w:val="en-US"/>
        </w:rPr>
        <w:t>Tenggis</w:t>
      </w:r>
      <w:proofErr w:type="spellEnd"/>
      <w:r>
        <w:rPr>
          <w:lang w:val="en-US"/>
        </w:rPr>
        <w:t>, however, presented forty horses, which a</w:t>
      </w:r>
      <w:r w:rsidR="00A44425">
        <w:rPr>
          <w:lang w:val="en-US"/>
        </w:rPr>
        <w:t>t the time was a valuable gift</w:t>
      </w:r>
      <w:r w:rsidR="004459D0" w:rsidRPr="004459D0">
        <w:rPr>
          <w:i/>
          <w:lang w:val="en-US"/>
        </w:rPr>
        <w:t xml:space="preserve"> </w:t>
      </w:r>
      <w:r w:rsidR="004459D0">
        <w:rPr>
          <w:iCs/>
          <w:lang w:val="en-US"/>
        </w:rPr>
        <w:t>(</w:t>
      </w:r>
      <w:proofErr w:type="spellStart"/>
      <w:r w:rsidR="004459D0" w:rsidRPr="004459D0">
        <w:rPr>
          <w:i/>
          <w:lang w:val="en-US"/>
        </w:rPr>
        <w:t>A</w:t>
      </w:r>
      <w:r w:rsidR="004459D0" w:rsidRPr="004459D0">
        <w:rPr>
          <w:i/>
          <w:iCs/>
          <w:lang w:val="en-US"/>
        </w:rPr>
        <w:t>rban</w:t>
      </w:r>
      <w:proofErr w:type="spellEnd"/>
      <w:r w:rsidR="004459D0" w:rsidRPr="004459D0">
        <w:rPr>
          <w:i/>
          <w:iCs/>
          <w:lang w:val="en-US"/>
        </w:rPr>
        <w:t xml:space="preserve"> </w:t>
      </w:r>
      <w:proofErr w:type="spellStart"/>
      <w:r w:rsidR="004459D0" w:rsidRPr="004459D0">
        <w:rPr>
          <w:i/>
          <w:iCs/>
          <w:lang w:val="en-US"/>
        </w:rPr>
        <w:t>dolodu</w:t>
      </w:r>
      <w:proofErr w:type="spellEnd"/>
      <w:r w:rsidR="004459D0" w:rsidRPr="004459D0">
        <w:rPr>
          <w:i/>
          <w:iCs/>
        </w:rPr>
        <w:t>γ</w:t>
      </w:r>
      <w:proofErr w:type="spellStart"/>
      <w:r w:rsidR="004459D0" w:rsidRPr="004459D0">
        <w:rPr>
          <w:i/>
          <w:iCs/>
          <w:lang w:val="en-US"/>
        </w:rPr>
        <w:t>ar</w:t>
      </w:r>
      <w:proofErr w:type="spellEnd"/>
      <w:r w:rsidR="004459D0" w:rsidRPr="004459D0">
        <w:rPr>
          <w:i/>
          <w:iCs/>
          <w:lang w:val="en-US"/>
        </w:rPr>
        <w:t xml:space="preserve"> ja</w:t>
      </w:r>
      <w:r w:rsidR="004459D0" w:rsidRPr="004459D0">
        <w:rPr>
          <w:i/>
          <w:iCs/>
        </w:rPr>
        <w:t>γ</w:t>
      </w:r>
      <w:r w:rsidR="004459D0" w:rsidRPr="004459D0">
        <w:rPr>
          <w:i/>
          <w:iCs/>
          <w:lang w:val="en-US"/>
        </w:rPr>
        <w:t>un-u</w:t>
      </w:r>
      <w:r w:rsidR="004459D0">
        <w:rPr>
          <w:lang w:val="en-US"/>
        </w:rPr>
        <w:t xml:space="preserve"> 1997: vol. 2</w:t>
      </w:r>
      <w:r w:rsidR="004459D0" w:rsidRPr="004459D0">
        <w:rPr>
          <w:iCs/>
          <w:lang w:val="en-US"/>
        </w:rPr>
        <w:t>, 260-262</w:t>
      </w:r>
      <w:r w:rsidR="004459D0">
        <w:rPr>
          <w:iCs/>
          <w:lang w:val="en-US"/>
        </w:rPr>
        <w:t>)</w:t>
      </w:r>
      <w:r w:rsidR="00A44425">
        <w:rPr>
          <w:lang w:val="en-US"/>
        </w:rPr>
        <w:t>.</w:t>
      </w:r>
      <w:r w:rsidR="00F756CE">
        <w:rPr>
          <w:lang w:val="en-US"/>
        </w:rPr>
        <w:t xml:space="preserve"> Even though no list of </w:t>
      </w:r>
      <w:r>
        <w:rPr>
          <w:lang w:val="en-US"/>
        </w:rPr>
        <w:t>r</w:t>
      </w:r>
      <w:r w:rsidR="00A44425">
        <w:rPr>
          <w:lang w:val="en-US"/>
        </w:rPr>
        <w:t>eturn presents</w:t>
      </w:r>
      <w:r w:rsidR="006B6ACE">
        <w:rPr>
          <w:lang w:val="en-US"/>
        </w:rPr>
        <w:t xml:space="preserve"> has been recorded</w:t>
      </w:r>
      <w:r w:rsidR="00F756CE">
        <w:rPr>
          <w:lang w:val="en-US"/>
        </w:rPr>
        <w:t>, i</w:t>
      </w:r>
      <w:r>
        <w:rPr>
          <w:lang w:val="en-US"/>
        </w:rPr>
        <w:t xml:space="preserve">t is hard to imagine that the Manchu ruler </w:t>
      </w:r>
      <w:r w:rsidR="00A44425">
        <w:rPr>
          <w:lang w:val="en-US"/>
        </w:rPr>
        <w:t>had</w:t>
      </w:r>
      <w:r>
        <w:rPr>
          <w:lang w:val="en-US"/>
        </w:rPr>
        <w:t xml:space="preserve"> see</w:t>
      </w:r>
      <w:r w:rsidR="00A44425">
        <w:rPr>
          <w:lang w:val="en-US"/>
        </w:rPr>
        <w:t>n off</w:t>
      </w:r>
      <w:r>
        <w:rPr>
          <w:lang w:val="en-US"/>
        </w:rPr>
        <w:t xml:space="preserve"> the </w:t>
      </w:r>
      <w:proofErr w:type="spellStart"/>
      <w:r w:rsidR="0040767B">
        <w:rPr>
          <w:lang w:val="en-US"/>
        </w:rPr>
        <w:t>Sönid</w:t>
      </w:r>
      <w:proofErr w:type="spellEnd"/>
      <w:r w:rsidR="003D0E6E">
        <w:rPr>
          <w:lang w:val="en-US"/>
        </w:rPr>
        <w:t xml:space="preserve"> </w:t>
      </w:r>
      <w:r>
        <w:rPr>
          <w:lang w:val="en-US"/>
        </w:rPr>
        <w:t>delegation empty handed</w:t>
      </w:r>
      <w:r w:rsidR="00F756CE">
        <w:rPr>
          <w:lang w:val="en-US"/>
        </w:rPr>
        <w:t>ly</w:t>
      </w:r>
      <w:r w:rsidR="00133E22">
        <w:rPr>
          <w:lang w:val="en-US"/>
        </w:rPr>
        <w:t xml:space="preserve">. </w:t>
      </w:r>
      <w:r w:rsidR="00A44425">
        <w:rPr>
          <w:lang w:val="en-US"/>
        </w:rPr>
        <w:t xml:space="preserve">Nevertheless, one may wonder from where the compilers of the </w:t>
      </w:r>
      <w:r w:rsidR="00A44425">
        <w:rPr>
          <w:i/>
          <w:lang w:val="en-US"/>
        </w:rPr>
        <w:t xml:space="preserve">Huang Qing </w:t>
      </w:r>
      <w:proofErr w:type="spellStart"/>
      <w:r w:rsidR="00A44425">
        <w:rPr>
          <w:i/>
          <w:lang w:val="en-US"/>
        </w:rPr>
        <w:t>Kaiguo</w:t>
      </w:r>
      <w:proofErr w:type="spellEnd"/>
      <w:r w:rsidR="00A44425">
        <w:rPr>
          <w:i/>
          <w:lang w:val="en-US"/>
        </w:rPr>
        <w:t xml:space="preserve"> </w:t>
      </w:r>
      <w:proofErr w:type="spellStart"/>
      <w:r w:rsidR="00A44425">
        <w:rPr>
          <w:i/>
          <w:lang w:val="en-US"/>
        </w:rPr>
        <w:t>F</w:t>
      </w:r>
      <w:r w:rsidR="00A44425" w:rsidRPr="00DC73B0">
        <w:rPr>
          <w:i/>
          <w:lang w:val="en-US"/>
        </w:rPr>
        <w:t>anglüe</w:t>
      </w:r>
      <w:proofErr w:type="spellEnd"/>
      <w:r w:rsidR="00A44425">
        <w:rPr>
          <w:lang w:val="en-US"/>
        </w:rPr>
        <w:t xml:space="preserve"> in the late 18</w:t>
      </w:r>
      <w:r w:rsidR="00A44425" w:rsidRPr="00A44425">
        <w:rPr>
          <w:vertAlign w:val="superscript"/>
          <w:lang w:val="en-US"/>
        </w:rPr>
        <w:t>th</w:t>
      </w:r>
      <w:r w:rsidR="00A44425">
        <w:rPr>
          <w:lang w:val="en-US"/>
        </w:rPr>
        <w:t xml:space="preserve"> century had the information on their exact </w:t>
      </w:r>
      <w:r w:rsidR="00E64AF5">
        <w:rPr>
          <w:lang w:val="en-US"/>
        </w:rPr>
        <w:t xml:space="preserve">quality and </w:t>
      </w:r>
      <w:r w:rsidR="00A44425">
        <w:rPr>
          <w:lang w:val="en-US"/>
        </w:rPr>
        <w:t>amount</w:t>
      </w:r>
      <w:r w:rsidR="00E64AF5">
        <w:rPr>
          <w:lang w:val="en-US"/>
        </w:rPr>
        <w:t xml:space="preserve"> of the return gifts</w:t>
      </w:r>
      <w:r w:rsidR="00A44425">
        <w:rPr>
          <w:lang w:val="en-US"/>
        </w:rPr>
        <w:t xml:space="preserve">. </w:t>
      </w:r>
      <w:r w:rsidR="007D363E">
        <w:rPr>
          <w:lang w:val="en-US"/>
        </w:rPr>
        <w:t>Irrespective of what was actually given and received by both sides</w:t>
      </w:r>
      <w:r w:rsidR="001637FE">
        <w:rPr>
          <w:lang w:val="en-US"/>
        </w:rPr>
        <w:t>,</w:t>
      </w:r>
      <w:r w:rsidR="007D363E">
        <w:rPr>
          <w:lang w:val="en-US"/>
        </w:rPr>
        <w:t xml:space="preserve"> it</w:t>
      </w:r>
      <w:r w:rsidR="00A952C5">
        <w:rPr>
          <w:lang w:val="en-US"/>
        </w:rPr>
        <w:t xml:space="preserve"> is noteworthy</w:t>
      </w:r>
      <w:r w:rsidR="007D363E">
        <w:rPr>
          <w:lang w:val="en-US"/>
        </w:rPr>
        <w:t xml:space="preserve"> that in 1640 it was important to </w:t>
      </w:r>
      <w:r w:rsidR="00C61288">
        <w:rPr>
          <w:lang w:val="en-US"/>
        </w:rPr>
        <w:t>acknowledge</w:t>
      </w:r>
      <w:r w:rsidR="007D363E">
        <w:rPr>
          <w:lang w:val="en-US"/>
        </w:rPr>
        <w:t xml:space="preserve"> the </w:t>
      </w:r>
      <w:r w:rsidR="00C61288">
        <w:rPr>
          <w:lang w:val="en-US"/>
        </w:rPr>
        <w:t xml:space="preserve">amount of </w:t>
      </w:r>
      <w:r w:rsidR="007D363E">
        <w:rPr>
          <w:lang w:val="en-US"/>
        </w:rPr>
        <w:t xml:space="preserve">gifts </w:t>
      </w:r>
      <w:r w:rsidR="007D363E" w:rsidRPr="001637FE">
        <w:rPr>
          <w:i/>
          <w:iCs/>
          <w:lang w:val="en-US"/>
        </w:rPr>
        <w:t>received</w:t>
      </w:r>
      <w:r w:rsidR="007D363E">
        <w:rPr>
          <w:lang w:val="en-US"/>
        </w:rPr>
        <w:t xml:space="preserve"> while, f</w:t>
      </w:r>
      <w:r>
        <w:rPr>
          <w:lang w:val="en-US"/>
        </w:rPr>
        <w:t>rom the viewpoint of 18</w:t>
      </w:r>
      <w:r w:rsidRPr="00665A37">
        <w:rPr>
          <w:vertAlign w:val="superscript"/>
          <w:lang w:val="en-US"/>
        </w:rPr>
        <w:t>th</w:t>
      </w:r>
      <w:r>
        <w:rPr>
          <w:lang w:val="en-US"/>
        </w:rPr>
        <w:t xml:space="preserve"> century Qing historiographers</w:t>
      </w:r>
      <w:r w:rsidR="007D363E">
        <w:rPr>
          <w:lang w:val="en-US"/>
        </w:rPr>
        <w:t>,</w:t>
      </w:r>
      <w:r>
        <w:rPr>
          <w:lang w:val="en-US"/>
        </w:rPr>
        <w:t xml:space="preserve"> what </w:t>
      </w:r>
      <w:r w:rsidR="00C61288">
        <w:rPr>
          <w:lang w:val="en-US"/>
        </w:rPr>
        <w:t xml:space="preserve">had to be stressed </w:t>
      </w:r>
      <w:r w:rsidR="00C21481">
        <w:rPr>
          <w:lang w:val="en-US"/>
        </w:rPr>
        <w:t xml:space="preserve">and needed to be recorded for posterity </w:t>
      </w:r>
      <w:r>
        <w:rPr>
          <w:lang w:val="en-US"/>
        </w:rPr>
        <w:t xml:space="preserve">was the </w:t>
      </w:r>
      <w:r w:rsidR="006173A9">
        <w:rPr>
          <w:lang w:val="en-US"/>
        </w:rPr>
        <w:t>generosity</w:t>
      </w:r>
      <w:r>
        <w:rPr>
          <w:lang w:val="en-US"/>
        </w:rPr>
        <w:t xml:space="preserve"> of the Manchu ruler. </w:t>
      </w:r>
      <w:r w:rsidR="00E358AE" w:rsidRPr="00E358AE">
        <w:rPr>
          <w:lang w:val="en-US"/>
        </w:rPr>
        <w:t xml:space="preserve">As </w:t>
      </w:r>
      <w:proofErr w:type="spellStart"/>
      <w:r w:rsidR="00E358AE" w:rsidRPr="00E358AE">
        <w:rPr>
          <w:lang w:val="en-US"/>
        </w:rPr>
        <w:t>Oyunbilig</w:t>
      </w:r>
      <w:proofErr w:type="spellEnd"/>
      <w:r w:rsidR="00E358AE" w:rsidRPr="00E358AE">
        <w:rPr>
          <w:lang w:val="en-US"/>
        </w:rPr>
        <w:t xml:space="preserve"> </w:t>
      </w:r>
      <w:r w:rsidR="00DD283F">
        <w:rPr>
          <w:lang w:val="en-US"/>
        </w:rPr>
        <w:t xml:space="preserve">(1999) </w:t>
      </w:r>
      <w:r w:rsidR="00E358AE" w:rsidRPr="00E358AE">
        <w:rPr>
          <w:lang w:val="en-US"/>
        </w:rPr>
        <w:t xml:space="preserve">and </w:t>
      </w:r>
      <w:proofErr w:type="spellStart"/>
      <w:r w:rsidR="00E358AE" w:rsidRPr="00E358AE">
        <w:rPr>
          <w:lang w:val="en-US"/>
        </w:rPr>
        <w:t>Weiers</w:t>
      </w:r>
      <w:proofErr w:type="spellEnd"/>
      <w:r w:rsidR="00E358AE" w:rsidRPr="00E358AE">
        <w:rPr>
          <w:lang w:val="en-US"/>
        </w:rPr>
        <w:t xml:space="preserve"> </w:t>
      </w:r>
      <w:r w:rsidR="00DD283F">
        <w:rPr>
          <w:lang w:val="en-US"/>
        </w:rPr>
        <w:t xml:space="preserve">(1987) </w:t>
      </w:r>
      <w:r w:rsidR="00E358AE" w:rsidRPr="00E358AE">
        <w:rPr>
          <w:lang w:val="en-US"/>
        </w:rPr>
        <w:t>have shown, Qing court historians interpreted historical events of the 17</w:t>
      </w:r>
      <w:r w:rsidR="00E358AE" w:rsidRPr="00E358AE">
        <w:rPr>
          <w:vertAlign w:val="superscript"/>
          <w:lang w:val="en-US"/>
        </w:rPr>
        <w:t>th</w:t>
      </w:r>
      <w:r w:rsidR="00E358AE" w:rsidRPr="00E358AE">
        <w:rPr>
          <w:lang w:val="en-US"/>
        </w:rPr>
        <w:t xml:space="preserve"> century in the light of the 18</w:t>
      </w:r>
      <w:r w:rsidR="00E358AE" w:rsidRPr="00E358AE">
        <w:rPr>
          <w:vertAlign w:val="superscript"/>
          <w:lang w:val="en-US"/>
        </w:rPr>
        <w:t>th</w:t>
      </w:r>
      <w:r w:rsidR="00E358AE" w:rsidRPr="00E358AE">
        <w:rPr>
          <w:lang w:val="en-US"/>
        </w:rPr>
        <w:t xml:space="preserve"> century political situation. </w:t>
      </w:r>
      <w:r w:rsidR="00A952C5">
        <w:rPr>
          <w:lang w:val="en-US"/>
        </w:rPr>
        <w:t xml:space="preserve">This trend </w:t>
      </w:r>
      <w:r w:rsidR="002942BF">
        <w:rPr>
          <w:lang w:val="en-US"/>
        </w:rPr>
        <w:t>was also confirmed</w:t>
      </w:r>
      <w:r w:rsidR="00A952C5">
        <w:rPr>
          <w:lang w:val="en-US"/>
        </w:rPr>
        <w:t xml:space="preserve"> </w:t>
      </w:r>
      <w:r w:rsidR="00E358AE">
        <w:rPr>
          <w:lang w:val="en-US"/>
        </w:rPr>
        <w:t>by</w:t>
      </w:r>
      <w:r w:rsidR="00A952C5">
        <w:rPr>
          <w:lang w:val="en-US"/>
        </w:rPr>
        <w:t xml:space="preserve"> Pamela Crossley</w:t>
      </w:r>
      <w:r w:rsidR="00E358AE">
        <w:rPr>
          <w:lang w:val="en-US"/>
        </w:rPr>
        <w:t>, who observed</w:t>
      </w:r>
      <w:r w:rsidR="00A952C5">
        <w:rPr>
          <w:lang w:val="en-US"/>
        </w:rPr>
        <w:t xml:space="preserve"> that “the Qianlong court obscured much of what it inherited from the ideologies of the Qing courts that preceded it”</w:t>
      </w:r>
      <w:r w:rsidR="004459D0">
        <w:rPr>
          <w:lang w:val="en-US"/>
        </w:rPr>
        <w:t xml:space="preserve"> (1999:</w:t>
      </w:r>
      <w:r w:rsidR="004459D0" w:rsidRPr="004459D0">
        <w:rPr>
          <w:lang w:val="en-US"/>
        </w:rPr>
        <w:t xml:space="preserve"> 20</w:t>
      </w:r>
      <w:r w:rsidR="004459D0">
        <w:rPr>
          <w:lang w:val="en-US"/>
        </w:rPr>
        <w:t>)</w:t>
      </w:r>
      <w:r w:rsidR="00A952C5">
        <w:rPr>
          <w:lang w:val="en-US"/>
        </w:rPr>
        <w:t xml:space="preserve">. Relations with Mongol political partners were redefined </w:t>
      </w:r>
      <w:r w:rsidR="00AC37FC">
        <w:rPr>
          <w:lang w:val="en-US"/>
        </w:rPr>
        <w:t xml:space="preserve">putting </w:t>
      </w:r>
      <w:r w:rsidR="00A952C5">
        <w:rPr>
          <w:lang w:val="en-US"/>
        </w:rPr>
        <w:t>emphasis on imperial generosity and superiority.</w:t>
      </w:r>
    </w:p>
    <w:p w:rsidR="00A952C5" w:rsidRDefault="00A952C5" w:rsidP="00133E22">
      <w:pPr>
        <w:jc w:val="both"/>
        <w:rPr>
          <w:lang w:val="en-US"/>
        </w:rPr>
      </w:pPr>
    </w:p>
    <w:p w:rsidR="00F86C7D" w:rsidRPr="00BE19E8" w:rsidRDefault="0008311A" w:rsidP="00B84751">
      <w:pPr>
        <w:jc w:val="both"/>
        <w:rPr>
          <w:lang w:val="en-US"/>
        </w:rPr>
      </w:pPr>
      <w:r>
        <w:rPr>
          <w:lang w:val="en-US"/>
        </w:rPr>
        <w:t xml:space="preserve">When </w:t>
      </w:r>
      <w:proofErr w:type="spellStart"/>
      <w:r>
        <w:rPr>
          <w:lang w:val="en-US"/>
        </w:rPr>
        <w:t>analysing</w:t>
      </w:r>
      <w:proofErr w:type="spellEnd"/>
      <w:r>
        <w:rPr>
          <w:lang w:val="en-US"/>
        </w:rPr>
        <w:t xml:space="preserve"> the changing roles in Manchu-</w:t>
      </w:r>
      <w:r w:rsidR="002C1D00">
        <w:rPr>
          <w:lang w:val="en-US"/>
        </w:rPr>
        <w:t>Mongol</w:t>
      </w:r>
      <w:r>
        <w:rPr>
          <w:lang w:val="en-US"/>
        </w:rPr>
        <w:t xml:space="preserve"> gift exchange we may come back to the obligation, which, according to Marcel </w:t>
      </w:r>
      <w:proofErr w:type="spellStart"/>
      <w:r>
        <w:rPr>
          <w:lang w:val="en-US"/>
        </w:rPr>
        <w:t>Mauss</w:t>
      </w:r>
      <w:proofErr w:type="spellEnd"/>
      <w:r>
        <w:rPr>
          <w:lang w:val="en-US"/>
        </w:rPr>
        <w:t xml:space="preserve">, is inherent in every exchange of objects. As </w:t>
      </w:r>
      <w:proofErr w:type="spellStart"/>
      <w:r>
        <w:rPr>
          <w:lang w:val="en-US"/>
        </w:rPr>
        <w:t>Mauss</w:t>
      </w:r>
      <w:proofErr w:type="spellEnd"/>
      <w:r>
        <w:rPr>
          <w:lang w:val="en-US"/>
        </w:rPr>
        <w:t xml:space="preserve"> argued, gifts are never “free”, but the act of giving creates a bond between the one who gives and the one who receives</w:t>
      </w:r>
      <w:r w:rsidR="00DD283F">
        <w:rPr>
          <w:lang w:val="en-US"/>
        </w:rPr>
        <w:t xml:space="preserve"> (2002:</w:t>
      </w:r>
      <w:r w:rsidR="00DD283F" w:rsidRPr="00DD283F">
        <w:rPr>
          <w:lang w:val="en-US"/>
        </w:rPr>
        <w:t xml:space="preserve"> 3</w:t>
      </w:r>
      <w:r w:rsidR="00DD283F">
        <w:rPr>
          <w:lang w:val="en-US"/>
        </w:rPr>
        <w:t>)</w:t>
      </w:r>
      <w:r>
        <w:rPr>
          <w:lang w:val="en-US"/>
        </w:rPr>
        <w:t xml:space="preserve">. </w:t>
      </w:r>
      <w:r w:rsidR="00907763">
        <w:rPr>
          <w:lang w:val="en-US"/>
        </w:rPr>
        <w:t>In the late 18</w:t>
      </w:r>
      <w:r w:rsidR="00907763" w:rsidRPr="00907763">
        <w:rPr>
          <w:vertAlign w:val="superscript"/>
          <w:lang w:val="en-US"/>
        </w:rPr>
        <w:t>th</w:t>
      </w:r>
      <w:r w:rsidR="00907763">
        <w:rPr>
          <w:lang w:val="en-US"/>
        </w:rPr>
        <w:t xml:space="preserve"> century, the fact that the Manchu emperor had received valuable gifts presented by the </w:t>
      </w:r>
      <w:r w:rsidR="002C1D00">
        <w:rPr>
          <w:lang w:val="en-US"/>
        </w:rPr>
        <w:t>Mongol</w:t>
      </w:r>
      <w:r w:rsidR="00907763">
        <w:rPr>
          <w:lang w:val="en-US"/>
        </w:rPr>
        <w:t xml:space="preserve"> side was </w:t>
      </w:r>
      <w:r w:rsidR="001A2A12">
        <w:rPr>
          <w:lang w:val="en-US"/>
        </w:rPr>
        <w:t>downplayed, and, by all appearances, he was not under the obligation to reciprocate</w:t>
      </w:r>
      <w:r w:rsidR="00907763">
        <w:rPr>
          <w:lang w:val="en-US"/>
        </w:rPr>
        <w:t>.</w:t>
      </w:r>
      <w:r w:rsidR="001A2A12">
        <w:rPr>
          <w:lang w:val="en-US"/>
        </w:rPr>
        <w:t xml:space="preserve"> </w:t>
      </w:r>
      <w:r>
        <w:rPr>
          <w:lang w:val="en-US"/>
        </w:rPr>
        <w:t xml:space="preserve">The </w:t>
      </w:r>
      <w:r w:rsidR="002C1D00">
        <w:rPr>
          <w:lang w:val="en-US"/>
        </w:rPr>
        <w:t>Mongol</w:t>
      </w:r>
      <w:r>
        <w:rPr>
          <w:lang w:val="en-US"/>
        </w:rPr>
        <w:t xml:space="preserve"> nobles</w:t>
      </w:r>
      <w:r w:rsidR="001A2A12">
        <w:rPr>
          <w:lang w:val="en-US"/>
        </w:rPr>
        <w:t>, however,</w:t>
      </w:r>
      <w:r>
        <w:rPr>
          <w:lang w:val="en-US"/>
        </w:rPr>
        <w:t xml:space="preserve"> who received </w:t>
      </w:r>
      <w:proofErr w:type="spellStart"/>
      <w:r>
        <w:rPr>
          <w:lang w:val="en-US"/>
        </w:rPr>
        <w:t>favours</w:t>
      </w:r>
      <w:proofErr w:type="spellEnd"/>
      <w:r>
        <w:rPr>
          <w:lang w:val="en-US"/>
        </w:rPr>
        <w:t xml:space="preserve"> from the Manchu ruler </w:t>
      </w:r>
      <w:r w:rsidR="001A2A12">
        <w:rPr>
          <w:lang w:val="en-US"/>
        </w:rPr>
        <w:t xml:space="preserve">had </w:t>
      </w:r>
      <w:r>
        <w:rPr>
          <w:lang w:val="en-US"/>
        </w:rPr>
        <w:t xml:space="preserve">to show themselves worthy and </w:t>
      </w:r>
      <w:r w:rsidR="00AE3DF2">
        <w:rPr>
          <w:lang w:val="en-US"/>
        </w:rPr>
        <w:t xml:space="preserve">strive to </w:t>
      </w:r>
      <w:r w:rsidR="006173A9">
        <w:rPr>
          <w:lang w:val="en-US"/>
        </w:rPr>
        <w:t>requite</w:t>
      </w:r>
      <w:r w:rsidR="00AE3DF2">
        <w:rPr>
          <w:lang w:val="en-US"/>
        </w:rPr>
        <w:t xml:space="preserve"> imperial grace</w:t>
      </w:r>
      <w:r w:rsidR="00DD283F">
        <w:rPr>
          <w:lang w:val="en-US"/>
        </w:rPr>
        <w:t xml:space="preserve"> </w:t>
      </w:r>
      <w:r w:rsidR="00DD283F" w:rsidRPr="00BE19E8">
        <w:rPr>
          <w:lang w:val="en-US"/>
        </w:rPr>
        <w:t>(Atwood: 2000)</w:t>
      </w:r>
      <w:r w:rsidR="00AE3DF2" w:rsidRPr="00BE19E8">
        <w:rPr>
          <w:lang w:val="en-US"/>
        </w:rPr>
        <w:t>.</w:t>
      </w:r>
      <w:r w:rsidR="00186EDE" w:rsidRPr="00BE19E8">
        <w:rPr>
          <w:lang w:val="en-US"/>
        </w:rPr>
        <w:t xml:space="preserve"> This shift of emphasis is important </w:t>
      </w:r>
      <w:r w:rsidR="006153FC" w:rsidRPr="00BE19E8">
        <w:rPr>
          <w:lang w:val="en-US"/>
        </w:rPr>
        <w:t>because i</w:t>
      </w:r>
      <w:r w:rsidR="00816D44" w:rsidRPr="00BE19E8">
        <w:rPr>
          <w:lang w:val="en-US"/>
        </w:rPr>
        <w:t xml:space="preserve">t has </w:t>
      </w:r>
      <w:r w:rsidR="006153FC" w:rsidRPr="00BE19E8">
        <w:rPr>
          <w:lang w:val="en-US"/>
        </w:rPr>
        <w:t xml:space="preserve">implications for the notion </w:t>
      </w:r>
      <w:r w:rsidR="00186EDE" w:rsidRPr="00BE19E8">
        <w:rPr>
          <w:lang w:val="en-US"/>
        </w:rPr>
        <w:t>of reciproc</w:t>
      </w:r>
      <w:r w:rsidR="006153FC" w:rsidRPr="00BE19E8">
        <w:rPr>
          <w:lang w:val="en-US"/>
        </w:rPr>
        <w:t>ity</w:t>
      </w:r>
      <w:r w:rsidR="00186EDE" w:rsidRPr="00BE19E8">
        <w:rPr>
          <w:lang w:val="en-US"/>
        </w:rPr>
        <w:t>.</w:t>
      </w:r>
      <w:r w:rsidR="00F86C7D" w:rsidRPr="00BE19E8">
        <w:rPr>
          <w:lang w:val="en-US"/>
        </w:rPr>
        <w:t xml:space="preserve"> While the emperor acknowledged the position of Mongols by graciously conferring gifts to them, public recognition of imperial superiority was achieved by the Mongol side accepting the gifts. </w:t>
      </w:r>
      <w:r w:rsidR="005120B2" w:rsidRPr="00BE19E8">
        <w:rPr>
          <w:lang w:val="en-US"/>
        </w:rPr>
        <w:t xml:space="preserve">In </w:t>
      </w:r>
      <w:r w:rsidR="006153FC" w:rsidRPr="00BE19E8">
        <w:rPr>
          <w:lang w:val="en-US"/>
        </w:rPr>
        <w:t xml:space="preserve">the representation of the court, </w:t>
      </w:r>
      <w:r w:rsidR="002F2900" w:rsidRPr="00BE19E8">
        <w:rPr>
          <w:lang w:val="en-US"/>
        </w:rPr>
        <w:t>the active participation of Mongols in gift exchange and, associated therewith, their political agency was downplayed.</w:t>
      </w:r>
    </w:p>
    <w:p w:rsidR="00B84751" w:rsidRDefault="004378E5" w:rsidP="00B84751">
      <w:pPr>
        <w:jc w:val="both"/>
        <w:rPr>
          <w:lang w:val="en-US"/>
        </w:rPr>
      </w:pPr>
      <w:r w:rsidRPr="00BE19E8">
        <w:rPr>
          <w:lang w:val="en-US"/>
        </w:rPr>
        <w:t>When we look at the objects, which</w:t>
      </w:r>
      <w:r>
        <w:rPr>
          <w:lang w:val="en-US"/>
        </w:rPr>
        <w:t xml:space="preserve"> were given to </w:t>
      </w:r>
      <w:r w:rsidR="002C1D00">
        <w:rPr>
          <w:lang w:val="en-US"/>
        </w:rPr>
        <w:t>Mongol</w:t>
      </w:r>
      <w:r>
        <w:rPr>
          <w:lang w:val="en-US"/>
        </w:rPr>
        <w:t xml:space="preserve"> authorities on the occasion of their visit to the court, the quality of the goods changed. In the late Shunzhi period the court presented Mongols with gifts, which no longer </w:t>
      </w:r>
      <w:r w:rsidR="000A5DE6">
        <w:rPr>
          <w:lang w:val="en-US"/>
        </w:rPr>
        <w:t>emphasized martial arts or promoted their strength for defending</w:t>
      </w:r>
      <w:r w:rsidR="00B52557">
        <w:rPr>
          <w:lang w:val="en-US"/>
        </w:rPr>
        <w:t xml:space="preserve"> as it had been usual during the conquest period</w:t>
      </w:r>
      <w:r w:rsidR="000A5DE6">
        <w:rPr>
          <w:lang w:val="en-US"/>
        </w:rPr>
        <w:t xml:space="preserve">. Objects symbolizing wealth, luxury and refinement like articles of clothing, </w:t>
      </w:r>
      <w:proofErr w:type="spellStart"/>
      <w:r w:rsidR="000A5DE6">
        <w:rPr>
          <w:lang w:val="en-US"/>
        </w:rPr>
        <w:t>jewellery</w:t>
      </w:r>
      <w:proofErr w:type="spellEnd"/>
      <w:r w:rsidR="000A5DE6">
        <w:rPr>
          <w:lang w:val="en-US"/>
        </w:rPr>
        <w:t xml:space="preserve"> etc. had been given to Mongols under the father of the Shunzhi emperor too</w:t>
      </w:r>
      <w:r w:rsidR="00DD283F">
        <w:rPr>
          <w:lang w:val="en-US"/>
        </w:rPr>
        <w:t xml:space="preserve"> (</w:t>
      </w:r>
      <w:r w:rsidR="00DD283F" w:rsidRPr="00DD283F">
        <w:rPr>
          <w:lang w:val="en-US"/>
        </w:rPr>
        <w:t>Gruber</w:t>
      </w:r>
      <w:r w:rsidR="00DD283F">
        <w:rPr>
          <w:lang w:val="en-US"/>
        </w:rPr>
        <w:t xml:space="preserve"> 2006:</w:t>
      </w:r>
      <w:r w:rsidR="00DD283F" w:rsidRPr="00DD283F">
        <w:rPr>
          <w:lang w:val="en-US"/>
        </w:rPr>
        <w:t xml:space="preserve"> 116</w:t>
      </w:r>
      <w:r w:rsidR="00DD283F">
        <w:rPr>
          <w:lang w:val="en-US"/>
        </w:rPr>
        <w:t>)</w:t>
      </w:r>
      <w:r w:rsidR="000A5DE6">
        <w:rPr>
          <w:lang w:val="en-US"/>
        </w:rPr>
        <w:t xml:space="preserve"> – but usually in combination with armament.</w:t>
      </w:r>
      <w:r w:rsidR="00087096">
        <w:rPr>
          <w:lang w:val="en-US"/>
        </w:rPr>
        <w:t xml:space="preserve"> In the 1650</w:t>
      </w:r>
      <w:r w:rsidR="00242796">
        <w:rPr>
          <w:lang w:val="en-US"/>
        </w:rPr>
        <w:t xml:space="preserve">s, </w:t>
      </w:r>
      <w:r w:rsidR="008317C9">
        <w:rPr>
          <w:lang w:val="en-US"/>
        </w:rPr>
        <w:t xml:space="preserve">however, </w:t>
      </w:r>
      <w:r w:rsidR="002C1D00">
        <w:rPr>
          <w:lang w:val="en-US"/>
        </w:rPr>
        <w:t>Mongol</w:t>
      </w:r>
      <w:r w:rsidR="00242796">
        <w:rPr>
          <w:lang w:val="en-US"/>
        </w:rPr>
        <w:t xml:space="preserve"> lea</w:t>
      </w:r>
      <w:r w:rsidR="0059728D">
        <w:rPr>
          <w:lang w:val="en-US"/>
        </w:rPr>
        <w:t xml:space="preserve">ders, who had come to the court, </w:t>
      </w:r>
      <w:r w:rsidR="00242796">
        <w:rPr>
          <w:lang w:val="en-US"/>
        </w:rPr>
        <w:t xml:space="preserve">were presented with luxury goods, like satin, </w:t>
      </w:r>
      <w:r w:rsidR="00C65890">
        <w:rPr>
          <w:lang w:val="en-US"/>
        </w:rPr>
        <w:t>tea, silver bowls etc.</w:t>
      </w:r>
      <w:r w:rsidR="0059728D">
        <w:rPr>
          <w:lang w:val="en-US"/>
        </w:rPr>
        <w:t xml:space="preserve"> (</w:t>
      </w:r>
      <w:r w:rsidR="0059728D" w:rsidRPr="0059728D">
        <w:rPr>
          <w:i/>
          <w:lang w:val="en-US"/>
        </w:rPr>
        <w:t xml:space="preserve">Qing </w:t>
      </w:r>
      <w:proofErr w:type="spellStart"/>
      <w:r w:rsidR="0059728D" w:rsidRPr="0059728D">
        <w:rPr>
          <w:i/>
          <w:lang w:val="en-US"/>
        </w:rPr>
        <w:t>chao</w:t>
      </w:r>
      <w:proofErr w:type="spellEnd"/>
      <w:r w:rsidR="0059728D" w:rsidRPr="0059728D">
        <w:rPr>
          <w:i/>
          <w:lang w:val="en-US"/>
        </w:rPr>
        <w:t xml:space="preserve"> </w:t>
      </w:r>
      <w:proofErr w:type="spellStart"/>
      <w:r w:rsidR="0059728D" w:rsidRPr="0059728D">
        <w:rPr>
          <w:i/>
          <w:lang w:val="en-US"/>
        </w:rPr>
        <w:t>qianqi</w:t>
      </w:r>
      <w:proofErr w:type="spellEnd"/>
      <w:r w:rsidR="0059728D" w:rsidRPr="0059728D">
        <w:rPr>
          <w:i/>
          <w:lang w:val="en-US"/>
        </w:rPr>
        <w:t xml:space="preserve"> </w:t>
      </w:r>
      <w:proofErr w:type="spellStart"/>
      <w:r w:rsidR="0059728D" w:rsidRPr="0059728D">
        <w:rPr>
          <w:i/>
          <w:lang w:val="en-US"/>
        </w:rPr>
        <w:t>Lifanyuan</w:t>
      </w:r>
      <w:proofErr w:type="spellEnd"/>
      <w:r w:rsidR="0059728D">
        <w:rPr>
          <w:i/>
          <w:lang w:val="en-US"/>
        </w:rPr>
        <w:t xml:space="preserve"> </w:t>
      </w:r>
      <w:r w:rsidR="0059728D">
        <w:rPr>
          <w:iCs/>
          <w:lang w:val="en-US"/>
        </w:rPr>
        <w:t>2010: vol. 1,</w:t>
      </w:r>
      <w:r w:rsidR="0059728D" w:rsidRPr="0059728D">
        <w:rPr>
          <w:lang w:val="en-US"/>
        </w:rPr>
        <w:t xml:space="preserve"> nos. 50, 80, 92</w:t>
      </w:r>
      <w:r w:rsidR="0059728D">
        <w:rPr>
          <w:lang w:val="en-US"/>
        </w:rPr>
        <w:t>,</w:t>
      </w:r>
      <w:r w:rsidR="0059728D" w:rsidRPr="0059728D">
        <w:rPr>
          <w:lang w:val="en-US"/>
        </w:rPr>
        <w:t xml:space="preserve"> 105</w:t>
      </w:r>
      <w:r w:rsidR="0059728D">
        <w:rPr>
          <w:lang w:val="en-US"/>
        </w:rPr>
        <w:t xml:space="preserve">; </w:t>
      </w:r>
      <w:r w:rsidR="0059728D" w:rsidRPr="0059728D">
        <w:rPr>
          <w:lang w:val="en-US"/>
        </w:rPr>
        <w:t>Song</w:t>
      </w:r>
      <w:r w:rsidR="0059728D">
        <w:rPr>
          <w:lang w:val="en-US"/>
        </w:rPr>
        <w:t xml:space="preserve"> forthcoming)</w:t>
      </w:r>
      <w:r w:rsidR="0059728D" w:rsidRPr="0059728D">
        <w:rPr>
          <w:lang w:val="en-US"/>
        </w:rPr>
        <w:t>.</w:t>
      </w:r>
      <w:r w:rsidR="009214CF">
        <w:rPr>
          <w:lang w:val="en-US"/>
        </w:rPr>
        <w:t xml:space="preserve"> According to </w:t>
      </w:r>
      <w:proofErr w:type="spellStart"/>
      <w:r w:rsidR="009214CF">
        <w:rPr>
          <w:lang w:val="en-US"/>
        </w:rPr>
        <w:t>Mauss’s</w:t>
      </w:r>
      <w:proofErr w:type="spellEnd"/>
      <w:r w:rsidR="009214CF">
        <w:rPr>
          <w:lang w:val="en-US"/>
        </w:rPr>
        <w:t xml:space="preserve"> model of gift exchange, gifts bear a general cultural meaning, but are </w:t>
      </w:r>
      <w:r w:rsidR="00497DFC">
        <w:rPr>
          <w:lang w:val="en-US"/>
        </w:rPr>
        <w:t xml:space="preserve">also </w:t>
      </w:r>
      <w:r w:rsidR="009214CF">
        <w:rPr>
          <w:lang w:val="en-US"/>
        </w:rPr>
        <w:t>associated with the specific personal relationship in which they are transacted</w:t>
      </w:r>
      <w:r w:rsidR="0059728D" w:rsidRPr="0059728D">
        <w:rPr>
          <w:lang w:val="en-US"/>
        </w:rPr>
        <w:t xml:space="preserve"> </w:t>
      </w:r>
      <w:r w:rsidR="0059728D">
        <w:rPr>
          <w:lang w:val="en-US"/>
        </w:rPr>
        <w:t>(</w:t>
      </w:r>
      <w:r w:rsidR="0059728D" w:rsidRPr="0059728D">
        <w:rPr>
          <w:lang w:val="en-US"/>
        </w:rPr>
        <w:t>Carrier</w:t>
      </w:r>
      <w:r w:rsidR="0059728D">
        <w:rPr>
          <w:lang w:val="en-US"/>
        </w:rPr>
        <w:t xml:space="preserve"> 1991: </w:t>
      </w:r>
      <w:r w:rsidR="0059728D" w:rsidRPr="0059728D">
        <w:rPr>
          <w:lang w:val="en-US"/>
        </w:rPr>
        <w:t>132/133</w:t>
      </w:r>
      <w:r w:rsidR="0059728D">
        <w:rPr>
          <w:lang w:val="en-US"/>
        </w:rPr>
        <w:t>)</w:t>
      </w:r>
      <w:r w:rsidR="009214CF">
        <w:rPr>
          <w:lang w:val="en-US"/>
        </w:rPr>
        <w:t>.</w:t>
      </w:r>
      <w:r w:rsidR="00497DFC">
        <w:rPr>
          <w:lang w:val="en-US"/>
        </w:rPr>
        <w:t xml:space="preserve"> For Mongols, the objects bearing the meaning of their personal bond with the emperor were luxury items. </w:t>
      </w:r>
      <w:r w:rsidR="00B84751">
        <w:rPr>
          <w:lang w:val="en-US"/>
        </w:rPr>
        <w:t xml:space="preserve">They were given as external signs of wealth, and for their Mongol recipients visualized the </w:t>
      </w:r>
      <w:r w:rsidR="004A02A8">
        <w:rPr>
          <w:lang w:val="en-US"/>
        </w:rPr>
        <w:t xml:space="preserve">prosperity, </w:t>
      </w:r>
      <w:r w:rsidR="00B84751">
        <w:rPr>
          <w:lang w:val="en-US"/>
        </w:rPr>
        <w:t>elegance and grandeur of the Qing dynasty. Even though we do not know whether the gifts were regarded as inalienable,</w:t>
      </w:r>
      <w:r w:rsidR="0059728D">
        <w:rPr>
          <w:rStyle w:val="Endnotenzeichen"/>
          <w:lang w:val="en-US"/>
        </w:rPr>
        <w:endnoteReference w:id="21"/>
      </w:r>
      <w:r w:rsidR="00B84751">
        <w:rPr>
          <w:lang w:val="en-US"/>
        </w:rPr>
        <w:t xml:space="preserve"> these objects were certainly regarded as been directly linked to the person of the emperor and his generosity. </w:t>
      </w:r>
    </w:p>
    <w:p w:rsidR="00C21481" w:rsidRDefault="00C21481" w:rsidP="00133E22">
      <w:pPr>
        <w:jc w:val="both"/>
        <w:rPr>
          <w:lang w:val="en-US"/>
        </w:rPr>
      </w:pPr>
    </w:p>
    <w:p w:rsidR="00497DFC" w:rsidRDefault="00497DFC" w:rsidP="00005C0A">
      <w:pPr>
        <w:rPr>
          <w:lang w:val="en-US"/>
        </w:rPr>
      </w:pPr>
    </w:p>
    <w:p w:rsidR="006A7A51" w:rsidRPr="006A7A51" w:rsidRDefault="00B25E9D" w:rsidP="00E729D2">
      <w:pPr>
        <w:autoSpaceDE w:val="0"/>
        <w:autoSpaceDN w:val="0"/>
        <w:adjustRightInd w:val="0"/>
        <w:rPr>
          <w:b/>
          <w:lang w:val="en-US"/>
        </w:rPr>
      </w:pPr>
      <w:r>
        <w:rPr>
          <w:b/>
          <w:lang w:val="en-US"/>
        </w:rPr>
        <w:t xml:space="preserve">Non-compliance with Rules of </w:t>
      </w:r>
      <w:proofErr w:type="spellStart"/>
      <w:r>
        <w:rPr>
          <w:b/>
          <w:lang w:val="en-US"/>
        </w:rPr>
        <w:t>Behaviour</w:t>
      </w:r>
      <w:proofErr w:type="spellEnd"/>
      <w:r>
        <w:rPr>
          <w:b/>
          <w:lang w:val="en-US"/>
        </w:rPr>
        <w:t xml:space="preserve"> as a P</w:t>
      </w:r>
      <w:r w:rsidR="006A7A51" w:rsidRPr="006A7A51">
        <w:rPr>
          <w:b/>
          <w:lang w:val="en-US"/>
        </w:rPr>
        <w:t>olit</w:t>
      </w:r>
      <w:r>
        <w:rPr>
          <w:b/>
          <w:lang w:val="en-US"/>
        </w:rPr>
        <w:t>ical S</w:t>
      </w:r>
      <w:r w:rsidR="006A7A51" w:rsidRPr="006A7A51">
        <w:rPr>
          <w:b/>
          <w:lang w:val="en-US"/>
        </w:rPr>
        <w:t>tatement</w:t>
      </w:r>
    </w:p>
    <w:p w:rsidR="00516882" w:rsidRDefault="006201AC" w:rsidP="004A02A8">
      <w:pPr>
        <w:autoSpaceDE w:val="0"/>
        <w:autoSpaceDN w:val="0"/>
        <w:adjustRightInd w:val="0"/>
        <w:jc w:val="both"/>
        <w:rPr>
          <w:bCs/>
          <w:lang w:val="en-US"/>
        </w:rPr>
      </w:pPr>
      <w:r>
        <w:rPr>
          <w:lang w:val="en-US"/>
        </w:rPr>
        <w:t xml:space="preserve">When the subject of </w:t>
      </w:r>
      <w:r w:rsidR="002C1D00">
        <w:rPr>
          <w:lang w:val="en-US"/>
        </w:rPr>
        <w:t>Mongol</w:t>
      </w:r>
      <w:r>
        <w:rPr>
          <w:lang w:val="en-US"/>
        </w:rPr>
        <w:t xml:space="preserve"> o</w:t>
      </w:r>
      <w:r w:rsidR="00FF4CAF">
        <w:rPr>
          <w:lang w:val="en-US"/>
        </w:rPr>
        <w:t xml:space="preserve">pposition </w:t>
      </w:r>
      <w:r>
        <w:rPr>
          <w:lang w:val="en-US"/>
        </w:rPr>
        <w:t>to Man</w:t>
      </w:r>
      <w:r w:rsidR="00E943A3">
        <w:rPr>
          <w:lang w:val="en-US"/>
        </w:rPr>
        <w:t>chu rule comes up, historians u</w:t>
      </w:r>
      <w:r>
        <w:rPr>
          <w:lang w:val="en-US"/>
        </w:rPr>
        <w:t xml:space="preserve">sually put their attention on </w:t>
      </w:r>
      <w:r w:rsidR="00F93BC7">
        <w:rPr>
          <w:lang w:val="en-US"/>
        </w:rPr>
        <w:t xml:space="preserve">cases of </w:t>
      </w:r>
      <w:r w:rsidR="00FF4CAF">
        <w:rPr>
          <w:lang w:val="en-US"/>
        </w:rPr>
        <w:t>armed resistance.</w:t>
      </w:r>
      <w:r w:rsidR="00FF4CAF" w:rsidRPr="00FF4CAF">
        <w:rPr>
          <w:lang w:val="en-US"/>
        </w:rPr>
        <w:t xml:space="preserve"> </w:t>
      </w:r>
      <w:r w:rsidR="00F93BC7">
        <w:rPr>
          <w:lang w:val="en-US"/>
        </w:rPr>
        <w:t>When looking at the 17</w:t>
      </w:r>
      <w:r w:rsidR="00F93BC7" w:rsidRPr="00F27F22">
        <w:rPr>
          <w:vertAlign w:val="superscript"/>
          <w:lang w:val="en-US"/>
        </w:rPr>
        <w:t>th</w:t>
      </w:r>
      <w:r w:rsidR="00F93BC7">
        <w:rPr>
          <w:lang w:val="en-US"/>
        </w:rPr>
        <w:t xml:space="preserve"> century, t</w:t>
      </w:r>
      <w:r w:rsidR="00F27F22">
        <w:rPr>
          <w:lang w:val="en-US"/>
        </w:rPr>
        <w:t xml:space="preserve">he most prominent examples </w:t>
      </w:r>
      <w:r w:rsidR="00F93BC7">
        <w:rPr>
          <w:lang w:val="en-US"/>
        </w:rPr>
        <w:t>of Mongols denouncing their bond with the Manchus</w:t>
      </w:r>
      <w:r w:rsidR="00F27F22">
        <w:rPr>
          <w:lang w:val="en-US"/>
        </w:rPr>
        <w:t xml:space="preserve"> </w:t>
      </w:r>
      <w:r w:rsidR="00F93BC7">
        <w:rPr>
          <w:lang w:val="en-US"/>
        </w:rPr>
        <w:t xml:space="preserve">and resorting to force </w:t>
      </w:r>
      <w:r w:rsidR="00F27F22">
        <w:rPr>
          <w:lang w:val="en-US"/>
        </w:rPr>
        <w:t xml:space="preserve">are </w:t>
      </w:r>
      <w:r>
        <w:rPr>
          <w:lang w:val="en-US"/>
        </w:rPr>
        <w:t xml:space="preserve">the </w:t>
      </w:r>
      <w:r w:rsidR="00F27F22">
        <w:rPr>
          <w:lang w:val="en-US"/>
        </w:rPr>
        <w:t xml:space="preserve">conflicts with the </w:t>
      </w:r>
      <w:proofErr w:type="spellStart"/>
      <w:r w:rsidR="0040767B">
        <w:rPr>
          <w:lang w:val="en-US"/>
        </w:rPr>
        <w:t>Sönid</w:t>
      </w:r>
      <w:proofErr w:type="spellEnd"/>
      <w:r w:rsidR="00F27F22">
        <w:rPr>
          <w:lang w:val="en-US"/>
        </w:rPr>
        <w:t xml:space="preserve"> </w:t>
      </w:r>
      <w:r w:rsidR="0059728D">
        <w:rPr>
          <w:lang w:val="en-US"/>
        </w:rPr>
        <w:t xml:space="preserve">Mongols under their leader </w:t>
      </w:r>
      <w:proofErr w:type="spellStart"/>
      <w:r w:rsidR="0059728D">
        <w:rPr>
          <w:lang w:val="en-US"/>
        </w:rPr>
        <w:t>Tenggis</w:t>
      </w:r>
      <w:proofErr w:type="spellEnd"/>
      <w:r w:rsidR="0059728D">
        <w:rPr>
          <w:lang w:val="en-US"/>
        </w:rPr>
        <w:t xml:space="preserve"> in the years </w:t>
      </w:r>
      <w:r w:rsidR="00802BBC">
        <w:rPr>
          <w:lang w:val="en-US"/>
        </w:rPr>
        <w:t xml:space="preserve">1646-1648 and the </w:t>
      </w:r>
      <w:r>
        <w:rPr>
          <w:lang w:val="en-US"/>
        </w:rPr>
        <w:t xml:space="preserve">military actions of </w:t>
      </w:r>
      <w:r w:rsidRPr="006201AC">
        <w:rPr>
          <w:lang w:val="en-US"/>
        </w:rPr>
        <w:t xml:space="preserve">the </w:t>
      </w:r>
      <w:proofErr w:type="spellStart"/>
      <w:r w:rsidRPr="006201AC">
        <w:rPr>
          <w:lang w:val="en-US"/>
        </w:rPr>
        <w:t>Čaqar</w:t>
      </w:r>
      <w:proofErr w:type="spellEnd"/>
      <w:r>
        <w:rPr>
          <w:lang w:val="en-US"/>
        </w:rPr>
        <w:t xml:space="preserve"> Mongols, who in 1675 launched an attack on Mukden</w:t>
      </w:r>
      <w:r w:rsidR="0059728D">
        <w:rPr>
          <w:lang w:val="en-US"/>
        </w:rPr>
        <w:t xml:space="preserve"> (</w:t>
      </w:r>
      <w:r w:rsidR="0059728D" w:rsidRPr="0059728D">
        <w:rPr>
          <w:lang w:val="en-GB"/>
        </w:rPr>
        <w:t>Fang</w:t>
      </w:r>
      <w:r w:rsidR="0059728D">
        <w:rPr>
          <w:lang w:val="en-GB"/>
        </w:rPr>
        <w:t xml:space="preserve"> 1943/44b: </w:t>
      </w:r>
      <w:r w:rsidR="0059728D" w:rsidRPr="0059728D">
        <w:rPr>
          <w:lang w:val="en-GB"/>
        </w:rPr>
        <w:t>304–305</w:t>
      </w:r>
      <w:r w:rsidR="0059728D">
        <w:rPr>
          <w:lang w:val="en-GB"/>
        </w:rPr>
        <w:t>)</w:t>
      </w:r>
      <w:r>
        <w:rPr>
          <w:lang w:val="en-US"/>
        </w:rPr>
        <w:t xml:space="preserve">. </w:t>
      </w:r>
      <w:r w:rsidR="00FF4CAF">
        <w:rPr>
          <w:lang w:val="en-US"/>
        </w:rPr>
        <w:t>Archival material, however, proves that in the 17</w:t>
      </w:r>
      <w:r w:rsidR="00FF4CAF" w:rsidRPr="00FF4CAF">
        <w:rPr>
          <w:vertAlign w:val="superscript"/>
          <w:lang w:val="en-US"/>
        </w:rPr>
        <w:t>th</w:t>
      </w:r>
      <w:r w:rsidR="00FF4CAF">
        <w:rPr>
          <w:lang w:val="en-US"/>
        </w:rPr>
        <w:t xml:space="preserve"> century </w:t>
      </w:r>
      <w:r w:rsidR="00FF4CAF" w:rsidRPr="00F27F22">
        <w:rPr>
          <w:lang w:val="en-US"/>
        </w:rPr>
        <w:t xml:space="preserve">members of the </w:t>
      </w:r>
      <w:r w:rsidR="002C1D00">
        <w:rPr>
          <w:lang w:val="en-US"/>
        </w:rPr>
        <w:t>Mongol</w:t>
      </w:r>
      <w:r w:rsidR="00FF4CAF" w:rsidRPr="00F27F22">
        <w:rPr>
          <w:lang w:val="en-US"/>
        </w:rPr>
        <w:t xml:space="preserve"> nobility</w:t>
      </w:r>
      <w:r w:rsidR="00F27F22">
        <w:rPr>
          <w:lang w:val="en-US"/>
        </w:rPr>
        <w:t xml:space="preserve"> </w:t>
      </w:r>
      <w:r w:rsidR="00045D93">
        <w:rPr>
          <w:lang w:val="en-US"/>
        </w:rPr>
        <w:t xml:space="preserve">also </w:t>
      </w:r>
      <w:r w:rsidR="00F27F22" w:rsidRPr="00F27F22">
        <w:rPr>
          <w:bCs/>
          <w:lang w:val="en-US"/>
        </w:rPr>
        <w:t>use</w:t>
      </w:r>
      <w:r w:rsidR="00045D93">
        <w:rPr>
          <w:bCs/>
          <w:lang w:val="en-US"/>
        </w:rPr>
        <w:t>d</w:t>
      </w:r>
      <w:r w:rsidR="00F27F22" w:rsidRPr="00F27F22">
        <w:rPr>
          <w:bCs/>
          <w:lang w:val="en-US"/>
        </w:rPr>
        <w:t xml:space="preserve"> non-violent meth</w:t>
      </w:r>
      <w:r w:rsidR="00F27F22" w:rsidRPr="00F27F22">
        <w:rPr>
          <w:lang w:val="en-US"/>
        </w:rPr>
        <w:t>ods of pas</w:t>
      </w:r>
      <w:r w:rsidR="00F27F22" w:rsidRPr="00F27F22">
        <w:rPr>
          <w:bCs/>
          <w:lang w:val="en-US"/>
        </w:rPr>
        <w:t>sive resistance</w:t>
      </w:r>
      <w:r w:rsidR="00F27F22">
        <w:rPr>
          <w:bCs/>
          <w:lang w:val="en-US"/>
        </w:rPr>
        <w:t xml:space="preserve">. </w:t>
      </w:r>
      <w:r w:rsidR="00045D93">
        <w:rPr>
          <w:lang w:val="en-US"/>
        </w:rPr>
        <w:t>In the same way as conforming to the requirements of formali</w:t>
      </w:r>
      <w:r w:rsidR="00E755F5">
        <w:rPr>
          <w:lang w:val="en-US"/>
        </w:rPr>
        <w:t>z</w:t>
      </w:r>
      <w:r w:rsidR="00045D93">
        <w:rPr>
          <w:lang w:val="en-US"/>
        </w:rPr>
        <w:t xml:space="preserve">ed </w:t>
      </w:r>
      <w:proofErr w:type="spellStart"/>
      <w:r w:rsidR="00045D93">
        <w:rPr>
          <w:lang w:val="en-US"/>
        </w:rPr>
        <w:t>behaviour</w:t>
      </w:r>
      <w:proofErr w:type="spellEnd"/>
      <w:r w:rsidR="00045D93">
        <w:rPr>
          <w:lang w:val="en-US"/>
        </w:rPr>
        <w:t xml:space="preserve"> was a way of clearly affirming one’s position within the hierarchical structures of the Qing state, non-compliance with the newly established rules of conduct was more than </w:t>
      </w:r>
      <w:proofErr w:type="spellStart"/>
      <w:r w:rsidR="00045D93">
        <w:rPr>
          <w:lang w:val="en-US"/>
        </w:rPr>
        <w:t>misbehaviour</w:t>
      </w:r>
      <w:proofErr w:type="spellEnd"/>
      <w:r w:rsidR="00045D93">
        <w:rPr>
          <w:lang w:val="en-US"/>
        </w:rPr>
        <w:t xml:space="preserve"> – it was a political statement.</w:t>
      </w:r>
    </w:p>
    <w:p w:rsidR="00551CC0" w:rsidRDefault="00551CC0" w:rsidP="004A02A8">
      <w:pPr>
        <w:autoSpaceDE w:val="0"/>
        <w:autoSpaceDN w:val="0"/>
        <w:adjustRightInd w:val="0"/>
        <w:jc w:val="both"/>
        <w:rPr>
          <w:bCs/>
          <w:lang w:val="en-US"/>
        </w:rPr>
      </w:pPr>
    </w:p>
    <w:p w:rsidR="00551CC0" w:rsidRDefault="001637FE" w:rsidP="004A02A8">
      <w:pPr>
        <w:autoSpaceDE w:val="0"/>
        <w:autoSpaceDN w:val="0"/>
        <w:adjustRightInd w:val="0"/>
        <w:jc w:val="both"/>
        <w:rPr>
          <w:bCs/>
          <w:lang w:val="en-US"/>
        </w:rPr>
      </w:pPr>
      <w:r>
        <w:rPr>
          <w:lang w:val="en-US"/>
        </w:rPr>
        <w:t>F</w:t>
      </w:r>
      <w:r w:rsidR="00F24898">
        <w:rPr>
          <w:lang w:val="en-US"/>
        </w:rPr>
        <w:t>rom the Shunzhi period on</w:t>
      </w:r>
      <w:r w:rsidR="00E943A3">
        <w:rPr>
          <w:lang w:val="en-US"/>
        </w:rPr>
        <w:t>wards,</w:t>
      </w:r>
      <w:r w:rsidR="00F24898">
        <w:rPr>
          <w:lang w:val="en-US"/>
        </w:rPr>
        <w:t xml:space="preserve"> </w:t>
      </w:r>
      <w:r>
        <w:rPr>
          <w:lang w:val="en-US"/>
        </w:rPr>
        <w:t xml:space="preserve">there was a stricter regulatory framework for </w:t>
      </w:r>
      <w:r w:rsidR="00F24898">
        <w:rPr>
          <w:lang w:val="en-US"/>
        </w:rPr>
        <w:t xml:space="preserve">festive dinners </w:t>
      </w:r>
      <w:r w:rsidRPr="001637FE">
        <w:rPr>
          <w:lang w:val="en-US"/>
        </w:rPr>
        <w:t xml:space="preserve">held at the court </w:t>
      </w:r>
      <w:r w:rsidR="00F24898">
        <w:rPr>
          <w:lang w:val="en-US"/>
        </w:rPr>
        <w:t xml:space="preserve">for </w:t>
      </w:r>
      <w:r w:rsidR="002C1D00">
        <w:rPr>
          <w:lang w:val="en-US"/>
        </w:rPr>
        <w:t>Mongol</w:t>
      </w:r>
      <w:r w:rsidR="00F24898">
        <w:rPr>
          <w:lang w:val="en-US"/>
        </w:rPr>
        <w:t xml:space="preserve"> dignitaries</w:t>
      </w:r>
      <w:r w:rsidR="0059728D">
        <w:rPr>
          <w:lang w:val="en-US"/>
        </w:rPr>
        <w:t xml:space="preserve"> (Song forthcoming)</w:t>
      </w:r>
      <w:r w:rsidR="00F24898">
        <w:rPr>
          <w:lang w:val="en-US"/>
        </w:rPr>
        <w:t xml:space="preserve">. </w:t>
      </w:r>
      <w:r w:rsidR="00842805">
        <w:rPr>
          <w:lang w:val="en-US"/>
        </w:rPr>
        <w:t>As we learn from the recently published archival material, n</w:t>
      </w:r>
      <w:r w:rsidR="00F24898">
        <w:rPr>
          <w:lang w:val="en-US"/>
        </w:rPr>
        <w:t>ot to appear at the court was unders</w:t>
      </w:r>
      <w:r w:rsidR="00842805">
        <w:rPr>
          <w:lang w:val="en-US"/>
        </w:rPr>
        <w:t>tood as a</w:t>
      </w:r>
      <w:r w:rsidR="00045D93">
        <w:rPr>
          <w:lang w:val="en-US"/>
        </w:rPr>
        <w:t xml:space="preserve"> form of protest</w:t>
      </w:r>
      <w:r w:rsidR="00842805">
        <w:rPr>
          <w:lang w:val="en-US"/>
        </w:rPr>
        <w:t xml:space="preserve">. </w:t>
      </w:r>
      <w:r w:rsidR="00551CC0">
        <w:rPr>
          <w:bCs/>
          <w:lang w:val="en-US"/>
        </w:rPr>
        <w:t xml:space="preserve">In 1659 the </w:t>
      </w:r>
      <w:proofErr w:type="spellStart"/>
      <w:r w:rsidR="00551CC0">
        <w:rPr>
          <w:bCs/>
          <w:lang w:val="en-US"/>
        </w:rPr>
        <w:t>Lifanyuan</w:t>
      </w:r>
      <w:proofErr w:type="spellEnd"/>
      <w:r w:rsidR="00551CC0">
        <w:rPr>
          <w:bCs/>
          <w:lang w:val="en-US"/>
        </w:rPr>
        <w:t xml:space="preserve"> reported to the emperor that two prominent rulers of the </w:t>
      </w:r>
      <w:proofErr w:type="spellStart"/>
      <w:r w:rsidR="00551CC0">
        <w:rPr>
          <w:bCs/>
          <w:lang w:val="en-US"/>
        </w:rPr>
        <w:t>Q</w:t>
      </w:r>
      <w:r w:rsidR="00551CC0" w:rsidRPr="00551CC0">
        <w:rPr>
          <w:bCs/>
          <w:lang w:val="en-US"/>
        </w:rPr>
        <w:t>orčin</w:t>
      </w:r>
      <w:proofErr w:type="spellEnd"/>
      <w:r w:rsidR="00551CC0">
        <w:rPr>
          <w:bCs/>
          <w:lang w:val="en-US"/>
        </w:rPr>
        <w:t xml:space="preserve"> </w:t>
      </w:r>
      <w:r w:rsidR="00312398">
        <w:rPr>
          <w:bCs/>
          <w:lang w:val="en-US"/>
        </w:rPr>
        <w:t xml:space="preserve">Mongols </w:t>
      </w:r>
      <w:r w:rsidR="00551CC0">
        <w:rPr>
          <w:bCs/>
          <w:lang w:val="en-US"/>
        </w:rPr>
        <w:t xml:space="preserve">had declined </w:t>
      </w:r>
      <w:r w:rsidR="005044F0">
        <w:rPr>
          <w:bCs/>
          <w:lang w:val="en-US"/>
        </w:rPr>
        <w:t>his invitation to come to the capital. The manner in which they had rejected the imperial request was deemed to be greatly disrespectful</w:t>
      </w:r>
      <w:r w:rsidR="00842805">
        <w:rPr>
          <w:bCs/>
          <w:lang w:val="en-US"/>
        </w:rPr>
        <w:t xml:space="preserve">, </w:t>
      </w:r>
      <w:r w:rsidR="00862675">
        <w:rPr>
          <w:bCs/>
          <w:lang w:val="en-US"/>
        </w:rPr>
        <w:t xml:space="preserve">and the </w:t>
      </w:r>
      <w:proofErr w:type="spellStart"/>
      <w:r w:rsidR="00862675">
        <w:rPr>
          <w:bCs/>
          <w:lang w:val="en-US"/>
        </w:rPr>
        <w:t>Lifanyuan</w:t>
      </w:r>
      <w:proofErr w:type="spellEnd"/>
      <w:r w:rsidR="00862675">
        <w:rPr>
          <w:bCs/>
          <w:lang w:val="en-US"/>
        </w:rPr>
        <w:t xml:space="preserve"> summarized their insolent remarks </w:t>
      </w:r>
      <w:r w:rsidR="005044F0">
        <w:rPr>
          <w:bCs/>
          <w:lang w:val="en-US"/>
        </w:rPr>
        <w:t>with these words:</w:t>
      </w:r>
      <w:r w:rsidR="0059728D">
        <w:rPr>
          <w:rStyle w:val="Endnotenzeichen"/>
          <w:bCs/>
          <w:lang w:val="en-US"/>
        </w:rPr>
        <w:endnoteReference w:id="22"/>
      </w:r>
      <w:r w:rsidR="005044F0">
        <w:rPr>
          <w:bCs/>
          <w:lang w:val="en-US"/>
        </w:rPr>
        <w:t xml:space="preserve"> </w:t>
      </w:r>
    </w:p>
    <w:p w:rsidR="00022FC7" w:rsidRDefault="00022FC7" w:rsidP="004A02A8">
      <w:pPr>
        <w:autoSpaceDE w:val="0"/>
        <w:autoSpaceDN w:val="0"/>
        <w:adjustRightInd w:val="0"/>
        <w:jc w:val="both"/>
        <w:rPr>
          <w:bCs/>
          <w:lang w:val="en-US"/>
        </w:rPr>
      </w:pPr>
    </w:p>
    <w:p w:rsidR="00900BA6" w:rsidRDefault="00900BA6" w:rsidP="004A02A8">
      <w:pPr>
        <w:ind w:left="708"/>
        <w:jc w:val="both"/>
        <w:rPr>
          <w:bCs/>
          <w:lang w:val="en-US"/>
        </w:rPr>
      </w:pPr>
      <w:r>
        <w:rPr>
          <w:lang w:val="en-US"/>
        </w:rPr>
        <w:t>When the emperor said “I want to get along well with you like a close relative, come!”</w:t>
      </w:r>
      <w:r w:rsidR="00022FC7">
        <w:rPr>
          <w:lang w:val="en-US"/>
        </w:rPr>
        <w:t>,</w:t>
      </w:r>
      <w:r>
        <w:rPr>
          <w:lang w:val="en-US"/>
        </w:rPr>
        <w:t xml:space="preserve"> t</w:t>
      </w:r>
      <w:r w:rsidR="00630474">
        <w:rPr>
          <w:lang w:val="en-US"/>
        </w:rPr>
        <w:t xml:space="preserve">he </w:t>
      </w:r>
      <w:proofErr w:type="spellStart"/>
      <w:r w:rsidR="00630474">
        <w:rPr>
          <w:lang w:val="en-US"/>
        </w:rPr>
        <w:t>Joriktu</w:t>
      </w:r>
      <w:proofErr w:type="spellEnd"/>
      <w:r w:rsidR="00630474">
        <w:rPr>
          <w:lang w:val="en-US"/>
        </w:rPr>
        <w:t xml:space="preserve"> </w:t>
      </w:r>
      <w:proofErr w:type="spellStart"/>
      <w:r w:rsidR="00630474">
        <w:rPr>
          <w:lang w:val="en-US"/>
        </w:rPr>
        <w:t>Cin</w:t>
      </w:r>
      <w:proofErr w:type="spellEnd"/>
      <w:r w:rsidR="00630474">
        <w:rPr>
          <w:lang w:val="en-US"/>
        </w:rPr>
        <w:t xml:space="preserve"> Wang</w:t>
      </w:r>
      <w:r w:rsidR="003A65DF">
        <w:rPr>
          <w:rStyle w:val="Endnotenzeichen"/>
          <w:lang w:val="en-US"/>
        </w:rPr>
        <w:endnoteReference w:id="23"/>
      </w:r>
      <w:r w:rsidR="00630474">
        <w:rPr>
          <w:lang w:val="en-US"/>
        </w:rPr>
        <w:t xml:space="preserve"> and the </w:t>
      </w:r>
      <w:proofErr w:type="spellStart"/>
      <w:r w:rsidR="00630474" w:rsidRPr="00EE2AD7">
        <w:rPr>
          <w:lang w:val="en-US"/>
        </w:rPr>
        <w:t>Darh</w:t>
      </w:r>
      <w:r w:rsidR="00022FC7" w:rsidRPr="00EE2AD7">
        <w:rPr>
          <w:lang w:val="en-US"/>
        </w:rPr>
        <w:t>an</w:t>
      </w:r>
      <w:proofErr w:type="spellEnd"/>
      <w:r w:rsidR="00022FC7" w:rsidRPr="00EE2AD7">
        <w:rPr>
          <w:lang w:val="en-US"/>
        </w:rPr>
        <w:t xml:space="preserve"> </w:t>
      </w:r>
      <w:proofErr w:type="spellStart"/>
      <w:r w:rsidR="00022FC7" w:rsidRPr="00EE2AD7">
        <w:rPr>
          <w:lang w:val="en-US"/>
        </w:rPr>
        <w:t>Baturu</w:t>
      </w:r>
      <w:proofErr w:type="spellEnd"/>
      <w:r w:rsidR="00022FC7" w:rsidRPr="00EE2AD7">
        <w:rPr>
          <w:lang w:val="en-US"/>
        </w:rPr>
        <w:t xml:space="preserve"> </w:t>
      </w:r>
      <w:proofErr w:type="spellStart"/>
      <w:r w:rsidR="00022FC7" w:rsidRPr="00EE2AD7">
        <w:rPr>
          <w:lang w:val="en-US"/>
        </w:rPr>
        <w:t>Gi</w:t>
      </w:r>
      <w:r w:rsidR="00022FC7" w:rsidRPr="006173A9">
        <w:rPr>
          <w:lang w:val="en-US"/>
        </w:rPr>
        <w:t>y</w:t>
      </w:r>
      <w:r w:rsidR="006173A9" w:rsidRPr="006173A9">
        <w:rPr>
          <w:lang w:val="en-US"/>
        </w:rPr>
        <w:t>ū</w:t>
      </w:r>
      <w:r w:rsidR="00022FC7" w:rsidRPr="006173A9">
        <w:rPr>
          <w:lang w:val="en-US"/>
        </w:rPr>
        <w:t>n</w:t>
      </w:r>
      <w:proofErr w:type="spellEnd"/>
      <w:r w:rsidRPr="006173A9">
        <w:rPr>
          <w:lang w:val="en-US"/>
        </w:rPr>
        <w:t xml:space="preserve"> </w:t>
      </w:r>
      <w:r w:rsidRPr="00EE2AD7">
        <w:rPr>
          <w:lang w:val="en-US"/>
        </w:rPr>
        <w:t>Wang</w:t>
      </w:r>
      <w:r w:rsidR="00083831">
        <w:rPr>
          <w:rStyle w:val="Endnotenzeichen"/>
          <w:lang w:val="en-US"/>
        </w:rPr>
        <w:endnoteReference w:id="24"/>
      </w:r>
      <w:r w:rsidRPr="00EE2AD7">
        <w:rPr>
          <w:lang w:val="en-US"/>
        </w:rPr>
        <w:t xml:space="preserve"> of the </w:t>
      </w:r>
      <w:proofErr w:type="spellStart"/>
      <w:r w:rsidRPr="00EE2AD7">
        <w:rPr>
          <w:lang w:val="en-US"/>
        </w:rPr>
        <w:t>Qor</w:t>
      </w:r>
      <w:r w:rsidR="000062F4" w:rsidRPr="00EE2AD7">
        <w:rPr>
          <w:lang w:val="en-US"/>
        </w:rPr>
        <w:t>č</w:t>
      </w:r>
      <w:r w:rsidRPr="00EE2AD7">
        <w:rPr>
          <w:lang w:val="en-US"/>
        </w:rPr>
        <w:t>in</w:t>
      </w:r>
      <w:proofErr w:type="spellEnd"/>
      <w:r w:rsidRPr="00EE2AD7">
        <w:rPr>
          <w:lang w:val="en-US"/>
        </w:rPr>
        <w:t xml:space="preserve"> did not happily come. Instead, </w:t>
      </w:r>
      <w:r w:rsidRPr="00AD03EB">
        <w:rPr>
          <w:lang w:val="en-US"/>
        </w:rPr>
        <w:t xml:space="preserve">the </w:t>
      </w:r>
      <w:proofErr w:type="spellStart"/>
      <w:r w:rsidRPr="00AD03EB">
        <w:rPr>
          <w:lang w:val="en-US"/>
        </w:rPr>
        <w:t>Joriktu</w:t>
      </w:r>
      <w:proofErr w:type="spellEnd"/>
      <w:r w:rsidRPr="00AD03EB">
        <w:rPr>
          <w:lang w:val="en-US"/>
        </w:rPr>
        <w:t xml:space="preserve"> </w:t>
      </w:r>
      <w:proofErr w:type="spellStart"/>
      <w:r w:rsidRPr="00AD03EB">
        <w:rPr>
          <w:lang w:val="en-US"/>
        </w:rPr>
        <w:t>Cin</w:t>
      </w:r>
      <w:proofErr w:type="spellEnd"/>
      <w:r w:rsidRPr="00AD03EB">
        <w:rPr>
          <w:lang w:val="en-US"/>
        </w:rPr>
        <w:t xml:space="preserve"> Wang did not ask for an imperial order, but, on his initiative, said “Because of the illness of the </w:t>
      </w:r>
      <w:r w:rsidR="0087080A" w:rsidRPr="00AD03EB">
        <w:rPr>
          <w:lang w:val="en-US"/>
        </w:rPr>
        <w:t xml:space="preserve">imperial princess </w:t>
      </w:r>
      <w:r w:rsidRPr="00AD03EB">
        <w:rPr>
          <w:lang w:val="en-US"/>
        </w:rPr>
        <w:t>I will postpone my</w:t>
      </w:r>
      <w:r w:rsidR="00593FE7" w:rsidRPr="00AD03EB">
        <w:rPr>
          <w:lang w:val="en-US"/>
        </w:rPr>
        <w:t xml:space="preserve"> arrival.” The </w:t>
      </w:r>
      <w:proofErr w:type="spellStart"/>
      <w:r w:rsidR="00593FE7" w:rsidRPr="00AD03EB">
        <w:rPr>
          <w:lang w:val="en-US"/>
        </w:rPr>
        <w:t>Darhan</w:t>
      </w:r>
      <w:proofErr w:type="spellEnd"/>
      <w:r w:rsidR="00593FE7" w:rsidRPr="00AD03EB">
        <w:rPr>
          <w:lang w:val="en-US"/>
        </w:rPr>
        <w:t xml:space="preserve"> </w:t>
      </w:r>
      <w:proofErr w:type="spellStart"/>
      <w:r w:rsidR="00593FE7" w:rsidRPr="00AD03EB">
        <w:rPr>
          <w:lang w:val="en-US"/>
        </w:rPr>
        <w:t>Baturu</w:t>
      </w:r>
      <w:proofErr w:type="spellEnd"/>
      <w:r w:rsidR="00593FE7" w:rsidRPr="00AD03EB">
        <w:rPr>
          <w:lang w:val="en-US"/>
        </w:rPr>
        <w:t xml:space="preserve"> </w:t>
      </w:r>
      <w:proofErr w:type="spellStart"/>
      <w:r w:rsidR="00593FE7" w:rsidRPr="00AD03EB">
        <w:rPr>
          <w:lang w:val="en-US"/>
        </w:rPr>
        <w:t>Giy</w:t>
      </w:r>
      <w:r w:rsidR="00AD03EB" w:rsidRPr="00AD03EB">
        <w:rPr>
          <w:lang w:val="en-US"/>
        </w:rPr>
        <w:t>ū</w:t>
      </w:r>
      <w:r w:rsidR="00593FE7" w:rsidRPr="00AD03EB">
        <w:rPr>
          <w:lang w:val="en-US"/>
        </w:rPr>
        <w:t>n</w:t>
      </w:r>
      <w:proofErr w:type="spellEnd"/>
      <w:r w:rsidRPr="00AD03EB">
        <w:rPr>
          <w:lang w:val="en-US"/>
        </w:rPr>
        <w:t xml:space="preserve"> Wang brought forward all sorts of things like “I caught a cold” and “</w:t>
      </w:r>
      <w:r w:rsidR="00285F39" w:rsidRPr="00AD03EB">
        <w:rPr>
          <w:lang w:val="en-US"/>
        </w:rPr>
        <w:t>Moreover, m</w:t>
      </w:r>
      <w:r w:rsidRPr="00AD03EB">
        <w:rPr>
          <w:lang w:val="en-US"/>
        </w:rPr>
        <w:t xml:space="preserve">y wife </w:t>
      </w:r>
      <w:r w:rsidR="00A14984">
        <w:rPr>
          <w:lang w:val="en-US"/>
        </w:rPr>
        <w:t xml:space="preserve">suffers from </w:t>
      </w:r>
      <w:proofErr w:type="spellStart"/>
      <w:r w:rsidR="00A14984">
        <w:rPr>
          <w:lang w:val="en-US"/>
        </w:rPr>
        <w:t>diarr</w:t>
      </w:r>
      <w:r w:rsidR="007C3806" w:rsidRPr="00AD03EB">
        <w:rPr>
          <w:lang w:val="en-US"/>
        </w:rPr>
        <w:t>hoea</w:t>
      </w:r>
      <w:proofErr w:type="spellEnd"/>
      <w:r w:rsidRPr="00AD03EB">
        <w:rPr>
          <w:lang w:val="en-US"/>
        </w:rPr>
        <w:t>.</w:t>
      </w:r>
      <w:r w:rsidR="00083831">
        <w:rPr>
          <w:rStyle w:val="Endnotenzeichen"/>
          <w:lang w:val="en-US"/>
        </w:rPr>
        <w:endnoteReference w:id="25"/>
      </w:r>
      <w:r w:rsidRPr="00AD03EB">
        <w:rPr>
          <w:lang w:val="en-US"/>
        </w:rPr>
        <w:t xml:space="preserve"> Two </w:t>
      </w:r>
      <w:r w:rsidR="00285F39" w:rsidRPr="00AD03EB">
        <w:rPr>
          <w:lang w:val="en-US"/>
        </w:rPr>
        <w:t xml:space="preserve">[of your] </w:t>
      </w:r>
      <w:r w:rsidRPr="00AD03EB">
        <w:rPr>
          <w:lang w:val="en-US"/>
        </w:rPr>
        <w:t>grandchildren</w:t>
      </w:r>
      <w:r w:rsidR="00083831">
        <w:rPr>
          <w:rStyle w:val="Endnotenzeichen"/>
          <w:lang w:val="en-US"/>
        </w:rPr>
        <w:endnoteReference w:id="26"/>
      </w:r>
      <w:r w:rsidRPr="00AD03EB">
        <w:rPr>
          <w:lang w:val="en-US"/>
        </w:rPr>
        <w:t xml:space="preserve"> have</w:t>
      </w:r>
      <w:r>
        <w:rPr>
          <w:lang w:val="en-US"/>
        </w:rPr>
        <w:t xml:space="preserve"> [already] died.” and acted contrary to the imperial order and what </w:t>
      </w:r>
      <w:r w:rsidR="007C3806">
        <w:rPr>
          <w:lang w:val="en-US"/>
        </w:rPr>
        <w:t>he</w:t>
      </w:r>
      <w:r>
        <w:rPr>
          <w:lang w:val="en-US"/>
        </w:rPr>
        <w:t xml:space="preserve"> handed</w:t>
      </w:r>
      <w:r w:rsidR="0087080A">
        <w:rPr>
          <w:lang w:val="en-US"/>
        </w:rPr>
        <w:t xml:space="preserve"> in as a memorial was greatly dis</w:t>
      </w:r>
      <w:r w:rsidR="00BF2D22">
        <w:rPr>
          <w:lang w:val="en-US"/>
        </w:rPr>
        <w:t>respectful.</w:t>
      </w:r>
    </w:p>
    <w:p w:rsidR="005044F0" w:rsidRDefault="005044F0" w:rsidP="004A02A8">
      <w:pPr>
        <w:autoSpaceDE w:val="0"/>
        <w:autoSpaceDN w:val="0"/>
        <w:adjustRightInd w:val="0"/>
        <w:jc w:val="both"/>
        <w:rPr>
          <w:bCs/>
          <w:lang w:val="en-US"/>
        </w:rPr>
      </w:pPr>
    </w:p>
    <w:p w:rsidR="005044F0" w:rsidRPr="00F27F22" w:rsidRDefault="0087080A" w:rsidP="004A02A8">
      <w:pPr>
        <w:autoSpaceDE w:val="0"/>
        <w:autoSpaceDN w:val="0"/>
        <w:adjustRightInd w:val="0"/>
        <w:jc w:val="both"/>
        <w:rPr>
          <w:lang w:val="en-US"/>
        </w:rPr>
      </w:pPr>
      <w:r>
        <w:rPr>
          <w:bCs/>
          <w:lang w:val="en-US"/>
        </w:rPr>
        <w:t xml:space="preserve">Both </w:t>
      </w:r>
      <w:proofErr w:type="spellStart"/>
      <w:r w:rsidR="00E82CED">
        <w:rPr>
          <w:bCs/>
          <w:lang w:val="en-US"/>
        </w:rPr>
        <w:t>Qorčin</w:t>
      </w:r>
      <w:proofErr w:type="spellEnd"/>
      <w:r w:rsidR="00E82CED">
        <w:rPr>
          <w:bCs/>
          <w:lang w:val="en-US"/>
        </w:rPr>
        <w:t xml:space="preserve"> prince</w:t>
      </w:r>
      <w:r w:rsidR="00EE01F5" w:rsidRPr="00AA6A76">
        <w:rPr>
          <w:bCs/>
          <w:lang w:val="en-US"/>
        </w:rPr>
        <w:t>s</w:t>
      </w:r>
      <w:r w:rsidR="00EE01F5">
        <w:rPr>
          <w:bCs/>
          <w:lang w:val="en-US"/>
        </w:rPr>
        <w:t xml:space="preserve">, who had received an invitation of the emperor to appear at the court together with their wives, </w:t>
      </w:r>
      <w:r>
        <w:rPr>
          <w:bCs/>
          <w:lang w:val="en-US"/>
        </w:rPr>
        <w:t>were married to imperial princesses</w:t>
      </w:r>
      <w:r w:rsidR="00D00293">
        <w:rPr>
          <w:bCs/>
          <w:lang w:val="en-US"/>
        </w:rPr>
        <w:t>.</w:t>
      </w:r>
      <w:r w:rsidR="002471F2">
        <w:rPr>
          <w:rStyle w:val="Endnotenzeichen"/>
          <w:bCs/>
          <w:lang w:val="en-US"/>
        </w:rPr>
        <w:endnoteReference w:id="27"/>
      </w:r>
      <w:r w:rsidR="00286AA0">
        <w:rPr>
          <w:bCs/>
          <w:lang w:val="en-US"/>
        </w:rPr>
        <w:t xml:space="preserve"> </w:t>
      </w:r>
      <w:r w:rsidR="002F4FE0">
        <w:rPr>
          <w:bCs/>
          <w:lang w:val="en-US"/>
        </w:rPr>
        <w:t xml:space="preserve">As is well known, </w:t>
      </w:r>
      <w:r w:rsidR="002F4FE0">
        <w:rPr>
          <w:lang w:val="en-US"/>
        </w:rPr>
        <w:t xml:space="preserve">marital alliances were of great political significance </w:t>
      </w:r>
      <w:r w:rsidR="00AA6A76">
        <w:rPr>
          <w:lang w:val="en-US"/>
        </w:rPr>
        <w:t xml:space="preserve">and </w:t>
      </w:r>
      <w:r w:rsidR="002F4FE0">
        <w:rPr>
          <w:lang w:val="en-US"/>
        </w:rPr>
        <w:t>had been at the core of Manchu diplomacy towards the Mongols</w:t>
      </w:r>
      <w:r w:rsidR="002471F2" w:rsidRPr="002471F2">
        <w:rPr>
          <w:lang w:val="en-US"/>
        </w:rPr>
        <w:t xml:space="preserve"> </w:t>
      </w:r>
      <w:r w:rsidR="002471F2">
        <w:rPr>
          <w:lang w:val="en-US"/>
        </w:rPr>
        <w:t>(</w:t>
      </w:r>
      <w:r w:rsidR="002471F2" w:rsidRPr="002471F2">
        <w:rPr>
          <w:lang w:val="en-US"/>
        </w:rPr>
        <w:t>Di Cosmo</w:t>
      </w:r>
      <w:r w:rsidR="002471F2">
        <w:rPr>
          <w:lang w:val="en-US"/>
        </w:rPr>
        <w:t xml:space="preserve"> 2007; </w:t>
      </w:r>
      <w:proofErr w:type="spellStart"/>
      <w:r w:rsidR="002471F2" w:rsidRPr="002471F2">
        <w:rPr>
          <w:lang w:val="en-US"/>
        </w:rPr>
        <w:t>Jagchid</w:t>
      </w:r>
      <w:proofErr w:type="spellEnd"/>
      <w:r w:rsidR="002471F2">
        <w:rPr>
          <w:lang w:val="en-US"/>
        </w:rPr>
        <w:t xml:space="preserve"> 1986).</w:t>
      </w:r>
      <w:r w:rsidR="002F4FE0">
        <w:rPr>
          <w:lang w:val="en-US"/>
        </w:rPr>
        <w:t xml:space="preserve"> </w:t>
      </w:r>
      <w:r w:rsidR="00AA6A76">
        <w:rPr>
          <w:lang w:val="en-US"/>
        </w:rPr>
        <w:t xml:space="preserve">Political </w:t>
      </w:r>
      <w:r w:rsidR="002F4FE0">
        <w:rPr>
          <w:lang w:val="en-US"/>
        </w:rPr>
        <w:t>relations were concluded and consolidated by strengthening family ties</w:t>
      </w:r>
      <w:r w:rsidR="00AA6A76">
        <w:rPr>
          <w:lang w:val="en-US"/>
        </w:rPr>
        <w:t>.</w:t>
      </w:r>
      <w:r w:rsidR="00EE01F5">
        <w:rPr>
          <w:lang w:val="en-US"/>
        </w:rPr>
        <w:t xml:space="preserve"> Despite the fact that they were relatives by marriage</w:t>
      </w:r>
      <w:r w:rsidR="00AA6A76">
        <w:rPr>
          <w:lang w:val="en-US"/>
        </w:rPr>
        <w:t>,</w:t>
      </w:r>
      <w:r w:rsidR="00EE01F5">
        <w:rPr>
          <w:lang w:val="en-US"/>
        </w:rPr>
        <w:t xml:space="preserve"> the two</w:t>
      </w:r>
      <w:r w:rsidR="00D00293">
        <w:rPr>
          <w:bCs/>
          <w:lang w:val="en-US"/>
        </w:rPr>
        <w:t xml:space="preserve"> did not want </w:t>
      </w:r>
      <w:r w:rsidR="00EE01F5">
        <w:rPr>
          <w:bCs/>
          <w:lang w:val="en-US"/>
        </w:rPr>
        <w:t>to accept the</w:t>
      </w:r>
      <w:r w:rsidR="00D00293">
        <w:rPr>
          <w:bCs/>
          <w:lang w:val="en-US"/>
        </w:rPr>
        <w:t xml:space="preserve"> invitation</w:t>
      </w:r>
      <w:r w:rsidR="00EE01F5">
        <w:rPr>
          <w:bCs/>
          <w:lang w:val="en-US"/>
        </w:rPr>
        <w:t xml:space="preserve"> to the capital</w:t>
      </w:r>
      <w:r w:rsidR="00286AA0">
        <w:rPr>
          <w:bCs/>
          <w:lang w:val="en-US"/>
        </w:rPr>
        <w:t xml:space="preserve">. The answer of the first, the </w:t>
      </w:r>
      <w:proofErr w:type="spellStart"/>
      <w:r w:rsidR="00286AA0">
        <w:rPr>
          <w:lang w:val="en-US"/>
        </w:rPr>
        <w:t>Joriktu</w:t>
      </w:r>
      <w:proofErr w:type="spellEnd"/>
      <w:r w:rsidR="00286AA0">
        <w:rPr>
          <w:lang w:val="en-US"/>
        </w:rPr>
        <w:t xml:space="preserve"> </w:t>
      </w:r>
      <w:proofErr w:type="spellStart"/>
      <w:r w:rsidR="00286AA0">
        <w:rPr>
          <w:lang w:val="en-US"/>
        </w:rPr>
        <w:t>Cin</w:t>
      </w:r>
      <w:proofErr w:type="spellEnd"/>
      <w:r w:rsidR="00286AA0">
        <w:rPr>
          <w:lang w:val="en-US"/>
        </w:rPr>
        <w:t xml:space="preserve"> Wang, was considered rude, because he simply declined the invitation and did not, as it would have been appropriate, ask for imperial permission not to appear. </w:t>
      </w:r>
      <w:r w:rsidR="0077097C">
        <w:rPr>
          <w:lang w:val="en-US"/>
        </w:rPr>
        <w:t>The case of t</w:t>
      </w:r>
      <w:r w:rsidR="00EE2AD7">
        <w:rPr>
          <w:lang w:val="en-US"/>
        </w:rPr>
        <w:t xml:space="preserve">he second, the </w:t>
      </w:r>
      <w:proofErr w:type="spellStart"/>
      <w:r w:rsidR="00EE2AD7">
        <w:rPr>
          <w:lang w:val="en-US"/>
        </w:rPr>
        <w:t>Darhan</w:t>
      </w:r>
      <w:proofErr w:type="spellEnd"/>
      <w:r w:rsidR="00EE2AD7">
        <w:rPr>
          <w:lang w:val="en-US"/>
        </w:rPr>
        <w:t xml:space="preserve"> </w:t>
      </w:r>
      <w:proofErr w:type="spellStart"/>
      <w:r w:rsidR="00EE2AD7">
        <w:rPr>
          <w:lang w:val="en-US"/>
        </w:rPr>
        <w:t>Baturu</w:t>
      </w:r>
      <w:proofErr w:type="spellEnd"/>
      <w:r w:rsidR="00EE2AD7">
        <w:rPr>
          <w:lang w:val="en-US"/>
        </w:rPr>
        <w:t xml:space="preserve"> </w:t>
      </w:r>
      <w:proofErr w:type="spellStart"/>
      <w:r w:rsidR="00AD03EB" w:rsidRPr="00AD03EB">
        <w:rPr>
          <w:lang w:val="en-US"/>
        </w:rPr>
        <w:t>Giyū</w:t>
      </w:r>
      <w:r w:rsidR="00EE2AD7" w:rsidRPr="00AD03EB">
        <w:rPr>
          <w:lang w:val="en-US"/>
        </w:rPr>
        <w:t>n</w:t>
      </w:r>
      <w:proofErr w:type="spellEnd"/>
      <w:r w:rsidR="0077097C" w:rsidRPr="00AD03EB">
        <w:rPr>
          <w:lang w:val="en-US"/>
        </w:rPr>
        <w:t xml:space="preserve"> Wang</w:t>
      </w:r>
      <w:r w:rsidR="0077097C">
        <w:rPr>
          <w:lang w:val="en-US"/>
        </w:rPr>
        <w:t xml:space="preserve">, was different. </w:t>
      </w:r>
      <w:r w:rsidR="0007656F">
        <w:rPr>
          <w:lang w:val="en-US"/>
        </w:rPr>
        <w:t xml:space="preserve">His reply seemed to be evasive and he adopted a tone, which </w:t>
      </w:r>
      <w:r w:rsidR="001637FE">
        <w:rPr>
          <w:lang w:val="en-US"/>
        </w:rPr>
        <w:t xml:space="preserve">may have been </w:t>
      </w:r>
      <w:r w:rsidR="0007656F">
        <w:rPr>
          <w:lang w:val="en-US"/>
        </w:rPr>
        <w:t>considered too familiar</w:t>
      </w:r>
      <w:r w:rsidR="003D2BD1">
        <w:rPr>
          <w:lang w:val="en-US"/>
        </w:rPr>
        <w:t xml:space="preserve"> in a correspondence with the emperor</w:t>
      </w:r>
      <w:r w:rsidR="00EE01F5">
        <w:rPr>
          <w:lang w:val="en-US"/>
        </w:rPr>
        <w:t>. E</w:t>
      </w:r>
      <w:r w:rsidR="00164F20">
        <w:rPr>
          <w:lang w:val="en-US"/>
        </w:rPr>
        <w:t xml:space="preserve">ven though the emperor </w:t>
      </w:r>
      <w:r w:rsidR="00317811">
        <w:rPr>
          <w:lang w:val="en-US"/>
        </w:rPr>
        <w:t xml:space="preserve">had </w:t>
      </w:r>
      <w:r w:rsidR="00164F20">
        <w:rPr>
          <w:lang w:val="en-US"/>
        </w:rPr>
        <w:t xml:space="preserve">alluded to the family ties between the two houses, </w:t>
      </w:r>
      <w:r w:rsidR="00072176">
        <w:rPr>
          <w:lang w:val="en-US"/>
        </w:rPr>
        <w:t>to be too explicit about his and his wife’s health condition</w:t>
      </w:r>
      <w:r w:rsidR="00164F20">
        <w:rPr>
          <w:lang w:val="en-US"/>
        </w:rPr>
        <w:t xml:space="preserve"> </w:t>
      </w:r>
      <w:r w:rsidR="00DD6111">
        <w:rPr>
          <w:lang w:val="en-US"/>
        </w:rPr>
        <w:t xml:space="preserve">was possibly </w:t>
      </w:r>
      <w:r w:rsidR="003E5E3B">
        <w:rPr>
          <w:lang w:val="en-US"/>
        </w:rPr>
        <w:t xml:space="preserve">tantamount to transgressing the </w:t>
      </w:r>
      <w:r w:rsidR="00317811">
        <w:rPr>
          <w:lang w:val="en-US"/>
        </w:rPr>
        <w:t xml:space="preserve">social </w:t>
      </w:r>
      <w:r w:rsidR="003E5E3B">
        <w:rPr>
          <w:lang w:val="en-US"/>
        </w:rPr>
        <w:t xml:space="preserve">boundaries, which </w:t>
      </w:r>
      <w:r w:rsidR="00A14984">
        <w:rPr>
          <w:lang w:val="en-US"/>
        </w:rPr>
        <w:t>separated</w:t>
      </w:r>
      <w:r w:rsidR="003E5E3B">
        <w:rPr>
          <w:lang w:val="en-US"/>
        </w:rPr>
        <w:t xml:space="preserve"> the </w:t>
      </w:r>
      <w:r w:rsidR="00317811">
        <w:rPr>
          <w:lang w:val="en-US"/>
        </w:rPr>
        <w:t>emperor</w:t>
      </w:r>
      <w:r w:rsidR="003E5E3B">
        <w:rPr>
          <w:lang w:val="en-US"/>
        </w:rPr>
        <w:t xml:space="preserve"> from</w:t>
      </w:r>
      <w:r w:rsidR="00317811">
        <w:rPr>
          <w:lang w:val="en-US"/>
        </w:rPr>
        <w:t xml:space="preserve"> local </w:t>
      </w:r>
      <w:r w:rsidR="002C1D00">
        <w:rPr>
          <w:lang w:val="en-US"/>
        </w:rPr>
        <w:t>Mongol</w:t>
      </w:r>
      <w:r w:rsidR="00317811">
        <w:rPr>
          <w:lang w:val="en-US"/>
        </w:rPr>
        <w:t xml:space="preserve"> power figures</w:t>
      </w:r>
      <w:r w:rsidR="003E5E3B">
        <w:rPr>
          <w:lang w:val="en-US"/>
        </w:rPr>
        <w:t>.</w:t>
      </w:r>
    </w:p>
    <w:p w:rsidR="004E6D2C" w:rsidRDefault="0071319D" w:rsidP="004A02A8">
      <w:pPr>
        <w:autoSpaceDE w:val="0"/>
        <w:autoSpaceDN w:val="0"/>
        <w:adjustRightInd w:val="0"/>
        <w:jc w:val="both"/>
        <w:rPr>
          <w:lang w:val="en-US"/>
        </w:rPr>
      </w:pPr>
      <w:r>
        <w:rPr>
          <w:lang w:val="en-US"/>
        </w:rPr>
        <w:t>It is not clear,</w:t>
      </w:r>
      <w:r w:rsidR="00EA67CC">
        <w:rPr>
          <w:lang w:val="en-US"/>
        </w:rPr>
        <w:t xml:space="preserve"> what prompted the two </w:t>
      </w:r>
      <w:proofErr w:type="spellStart"/>
      <w:r w:rsidR="00EA67CC" w:rsidRPr="00EA67CC">
        <w:rPr>
          <w:lang w:val="en-US"/>
        </w:rPr>
        <w:t>Qorčin</w:t>
      </w:r>
      <w:proofErr w:type="spellEnd"/>
      <w:r w:rsidR="00EA67CC" w:rsidRPr="00EA67CC">
        <w:rPr>
          <w:lang w:val="en-US"/>
        </w:rPr>
        <w:t xml:space="preserve"> noblemen</w:t>
      </w:r>
      <w:r w:rsidR="00EA67CC">
        <w:rPr>
          <w:lang w:val="en-US"/>
        </w:rPr>
        <w:t xml:space="preserve"> to turn down the imperial request to come to the capital in </w:t>
      </w:r>
      <w:r w:rsidR="00DD4DCB">
        <w:rPr>
          <w:lang w:val="en-US"/>
        </w:rPr>
        <w:t>this</w:t>
      </w:r>
      <w:r w:rsidR="00EA67CC">
        <w:rPr>
          <w:lang w:val="en-US"/>
        </w:rPr>
        <w:t xml:space="preserve"> rather provocative manner.</w:t>
      </w:r>
      <w:r w:rsidR="00EA67CC" w:rsidRPr="00EA67CC">
        <w:rPr>
          <w:lang w:val="en-US"/>
        </w:rPr>
        <w:t xml:space="preserve"> </w:t>
      </w:r>
      <w:r w:rsidR="00E529A3">
        <w:rPr>
          <w:lang w:val="en-US"/>
        </w:rPr>
        <w:t xml:space="preserve">Five years earlier, </w:t>
      </w:r>
      <w:r w:rsidR="004E6D2C">
        <w:rPr>
          <w:lang w:val="en-US"/>
        </w:rPr>
        <w:t xml:space="preserve">in August 1654, </w:t>
      </w:r>
      <w:r w:rsidR="00E529A3">
        <w:rPr>
          <w:lang w:val="en-US"/>
        </w:rPr>
        <w:t xml:space="preserve">both, the </w:t>
      </w:r>
      <w:proofErr w:type="spellStart"/>
      <w:r w:rsidR="00317811">
        <w:rPr>
          <w:lang w:val="en-US"/>
        </w:rPr>
        <w:t>Joriktu</w:t>
      </w:r>
      <w:proofErr w:type="spellEnd"/>
      <w:r w:rsidR="00317811">
        <w:rPr>
          <w:lang w:val="en-US"/>
        </w:rPr>
        <w:t xml:space="preserve"> </w:t>
      </w:r>
      <w:proofErr w:type="spellStart"/>
      <w:r w:rsidR="00317811">
        <w:rPr>
          <w:lang w:val="en-US"/>
        </w:rPr>
        <w:t>Cin</w:t>
      </w:r>
      <w:proofErr w:type="spellEnd"/>
      <w:r w:rsidR="00317811">
        <w:rPr>
          <w:lang w:val="en-US"/>
        </w:rPr>
        <w:t xml:space="preserve"> Wang </w:t>
      </w:r>
      <w:r w:rsidR="00E529A3">
        <w:rPr>
          <w:lang w:val="en-US"/>
        </w:rPr>
        <w:t xml:space="preserve">and the </w:t>
      </w:r>
      <w:proofErr w:type="spellStart"/>
      <w:r w:rsidR="00317811">
        <w:rPr>
          <w:lang w:val="en-US"/>
        </w:rPr>
        <w:t>Darhan</w:t>
      </w:r>
      <w:proofErr w:type="spellEnd"/>
      <w:r w:rsidR="00317811">
        <w:rPr>
          <w:lang w:val="en-US"/>
        </w:rPr>
        <w:t xml:space="preserve"> </w:t>
      </w:r>
      <w:proofErr w:type="spellStart"/>
      <w:r w:rsidR="00317811" w:rsidRPr="00EE2AD7">
        <w:rPr>
          <w:lang w:val="en-US"/>
        </w:rPr>
        <w:t>Baturu</w:t>
      </w:r>
      <w:proofErr w:type="spellEnd"/>
      <w:r w:rsidR="00317811" w:rsidRPr="00EE2AD7">
        <w:rPr>
          <w:lang w:val="en-US"/>
        </w:rPr>
        <w:t xml:space="preserve"> </w:t>
      </w:r>
      <w:proofErr w:type="spellStart"/>
      <w:r w:rsidR="00AD03EB">
        <w:rPr>
          <w:lang w:val="en-US"/>
        </w:rPr>
        <w:t>Giy</w:t>
      </w:r>
      <w:r w:rsidR="00AD03EB" w:rsidRPr="00AD03EB">
        <w:rPr>
          <w:lang w:val="en-US"/>
        </w:rPr>
        <w:t>ū</w:t>
      </w:r>
      <w:r w:rsidR="00317811" w:rsidRPr="00EE2AD7">
        <w:rPr>
          <w:lang w:val="en-US"/>
        </w:rPr>
        <w:t>n</w:t>
      </w:r>
      <w:proofErr w:type="spellEnd"/>
      <w:r w:rsidR="00317811" w:rsidRPr="00EE2AD7">
        <w:rPr>
          <w:lang w:val="en-US"/>
        </w:rPr>
        <w:t xml:space="preserve"> Wang</w:t>
      </w:r>
      <w:r w:rsidR="00317811">
        <w:rPr>
          <w:lang w:val="en-US"/>
        </w:rPr>
        <w:t xml:space="preserve"> </w:t>
      </w:r>
      <w:r w:rsidR="00E529A3">
        <w:rPr>
          <w:lang w:val="en-US"/>
        </w:rPr>
        <w:t>had attended a banquet at the capital together with their wives and, in return, had received lavish gifts</w:t>
      </w:r>
      <w:r w:rsidR="004E6D2C">
        <w:rPr>
          <w:lang w:val="en-US"/>
        </w:rPr>
        <w:t xml:space="preserve"> (</w:t>
      </w:r>
      <w:r w:rsidR="004E6D2C" w:rsidRPr="004E6D2C">
        <w:rPr>
          <w:i/>
          <w:lang w:val="en-US"/>
        </w:rPr>
        <w:t xml:space="preserve">Qing </w:t>
      </w:r>
      <w:proofErr w:type="spellStart"/>
      <w:r w:rsidR="004E6D2C" w:rsidRPr="004E6D2C">
        <w:rPr>
          <w:i/>
          <w:lang w:val="en-US"/>
        </w:rPr>
        <w:t>chao</w:t>
      </w:r>
      <w:proofErr w:type="spellEnd"/>
      <w:r w:rsidR="004E6D2C" w:rsidRPr="004E6D2C">
        <w:rPr>
          <w:i/>
          <w:lang w:val="en-US"/>
        </w:rPr>
        <w:t xml:space="preserve"> </w:t>
      </w:r>
      <w:proofErr w:type="spellStart"/>
      <w:r w:rsidR="004E6D2C" w:rsidRPr="004E6D2C">
        <w:rPr>
          <w:i/>
          <w:lang w:val="en-US"/>
        </w:rPr>
        <w:t>qianqi</w:t>
      </w:r>
      <w:proofErr w:type="spellEnd"/>
      <w:r w:rsidR="004E6D2C" w:rsidRPr="004E6D2C">
        <w:rPr>
          <w:i/>
          <w:lang w:val="en-US"/>
        </w:rPr>
        <w:t xml:space="preserve"> </w:t>
      </w:r>
      <w:proofErr w:type="spellStart"/>
      <w:r w:rsidR="004E6D2C" w:rsidRPr="004E6D2C">
        <w:rPr>
          <w:i/>
          <w:lang w:val="en-US"/>
        </w:rPr>
        <w:t>Lifanyuan</w:t>
      </w:r>
      <w:proofErr w:type="spellEnd"/>
      <w:r w:rsidR="004E6D2C">
        <w:rPr>
          <w:iCs/>
          <w:lang w:val="en-US"/>
        </w:rPr>
        <w:t xml:space="preserve"> 2010, vol. 1,</w:t>
      </w:r>
      <w:r w:rsidR="004E6D2C" w:rsidRPr="004E6D2C">
        <w:rPr>
          <w:lang w:val="en-US"/>
        </w:rPr>
        <w:t xml:space="preserve"> 71/72</w:t>
      </w:r>
      <w:r w:rsidR="004E6D2C">
        <w:rPr>
          <w:lang w:val="en-US"/>
        </w:rPr>
        <w:t>)</w:t>
      </w:r>
      <w:r w:rsidR="004E6D2C" w:rsidRPr="004E6D2C">
        <w:rPr>
          <w:lang w:val="en-US"/>
        </w:rPr>
        <w:t>.</w:t>
      </w:r>
      <w:r w:rsidR="00E529A3">
        <w:rPr>
          <w:lang w:val="en-US"/>
        </w:rPr>
        <w:t xml:space="preserve"> </w:t>
      </w:r>
      <w:r>
        <w:rPr>
          <w:lang w:val="en-US"/>
        </w:rPr>
        <w:t>W</w:t>
      </w:r>
      <w:r w:rsidR="004E0184">
        <w:rPr>
          <w:lang w:val="en-US"/>
        </w:rPr>
        <w:t xml:space="preserve">e cannot rule out the possibility that their dismissiveness was part of a strategy, which aimed at </w:t>
      </w:r>
      <w:r w:rsidR="00DD4DCB">
        <w:rPr>
          <w:lang w:val="en-US"/>
        </w:rPr>
        <w:t>gaining</w:t>
      </w:r>
      <w:r w:rsidR="004E0184">
        <w:rPr>
          <w:lang w:val="en-US"/>
        </w:rPr>
        <w:t xml:space="preserve"> more</w:t>
      </w:r>
      <w:r w:rsidR="00DD4DCB">
        <w:rPr>
          <w:lang w:val="en-US"/>
        </w:rPr>
        <w:t xml:space="preserve"> </w:t>
      </w:r>
      <w:r w:rsidR="004E0184">
        <w:rPr>
          <w:lang w:val="en-US"/>
        </w:rPr>
        <w:t xml:space="preserve">personal appreciation of their </w:t>
      </w:r>
      <w:r w:rsidR="00DD4DCB">
        <w:rPr>
          <w:lang w:val="en-US"/>
        </w:rPr>
        <w:t xml:space="preserve">services to </w:t>
      </w:r>
      <w:r w:rsidR="00DD4DCB">
        <w:rPr>
          <w:lang w:val="en-US"/>
        </w:rPr>
        <w:lastRenderedPageBreak/>
        <w:t xml:space="preserve">the dynasty. They may not have wanted to break with past policies of close cooperation but rather </w:t>
      </w:r>
      <w:r w:rsidR="001E561C">
        <w:rPr>
          <w:lang w:val="en-US"/>
        </w:rPr>
        <w:t xml:space="preserve">were </w:t>
      </w:r>
      <w:r w:rsidR="00DD4DCB">
        <w:rPr>
          <w:lang w:val="en-US"/>
        </w:rPr>
        <w:t xml:space="preserve">negotiating for a better position and more privileges. </w:t>
      </w:r>
      <w:r w:rsidR="00371DB2">
        <w:rPr>
          <w:lang w:val="en-US"/>
        </w:rPr>
        <w:t xml:space="preserve">This interpretation seems to be convincing </w:t>
      </w:r>
      <w:r w:rsidR="004C3026">
        <w:rPr>
          <w:lang w:val="en-US"/>
        </w:rPr>
        <w:t xml:space="preserve">at least </w:t>
      </w:r>
      <w:r w:rsidR="00371DB2">
        <w:rPr>
          <w:lang w:val="en-US"/>
        </w:rPr>
        <w:t xml:space="preserve">in the case of the </w:t>
      </w:r>
      <w:proofErr w:type="spellStart"/>
      <w:r w:rsidR="00371DB2">
        <w:rPr>
          <w:lang w:val="en-US"/>
        </w:rPr>
        <w:t>Darhan</w:t>
      </w:r>
      <w:proofErr w:type="spellEnd"/>
      <w:r w:rsidR="00371DB2">
        <w:rPr>
          <w:lang w:val="en-US"/>
        </w:rPr>
        <w:t xml:space="preserve"> </w:t>
      </w:r>
      <w:proofErr w:type="spellStart"/>
      <w:r w:rsidR="00371DB2">
        <w:rPr>
          <w:lang w:val="en-US"/>
        </w:rPr>
        <w:t>Baturu</w:t>
      </w:r>
      <w:proofErr w:type="spellEnd"/>
      <w:r w:rsidR="00371DB2">
        <w:rPr>
          <w:lang w:val="en-US"/>
        </w:rPr>
        <w:t xml:space="preserve"> </w:t>
      </w:r>
      <w:proofErr w:type="spellStart"/>
      <w:r w:rsidR="00593FE7">
        <w:rPr>
          <w:lang w:val="en-US"/>
        </w:rPr>
        <w:t>Giy</w:t>
      </w:r>
      <w:r w:rsidR="00AD03EB" w:rsidRPr="00AD03EB">
        <w:rPr>
          <w:lang w:val="en-US"/>
        </w:rPr>
        <w:t>ū</w:t>
      </w:r>
      <w:r w:rsidR="00371DB2" w:rsidRPr="00593FE7">
        <w:rPr>
          <w:lang w:val="en-US"/>
        </w:rPr>
        <w:t>n</w:t>
      </w:r>
      <w:proofErr w:type="spellEnd"/>
      <w:r w:rsidR="00371DB2">
        <w:rPr>
          <w:lang w:val="en-US"/>
        </w:rPr>
        <w:t xml:space="preserve"> Wang: Less than two months after </w:t>
      </w:r>
      <w:r w:rsidR="009E3C96">
        <w:rPr>
          <w:lang w:val="en-US"/>
        </w:rPr>
        <w:t xml:space="preserve">the </w:t>
      </w:r>
      <w:r w:rsidR="00371DB2">
        <w:rPr>
          <w:lang w:val="en-US"/>
        </w:rPr>
        <w:t xml:space="preserve">aforementioned memorial was made by the </w:t>
      </w:r>
      <w:proofErr w:type="spellStart"/>
      <w:r w:rsidR="00371DB2">
        <w:rPr>
          <w:lang w:val="en-US"/>
        </w:rPr>
        <w:t>Lifanyuan</w:t>
      </w:r>
      <w:proofErr w:type="spellEnd"/>
      <w:r w:rsidR="00371DB2">
        <w:rPr>
          <w:lang w:val="en-US"/>
        </w:rPr>
        <w:t xml:space="preserve">, he was elevated from </w:t>
      </w:r>
      <w:proofErr w:type="spellStart"/>
      <w:r w:rsidR="00EE2AD7">
        <w:rPr>
          <w:lang w:val="en-US"/>
        </w:rPr>
        <w:t>Giy</w:t>
      </w:r>
      <w:r w:rsidR="00AD03EB" w:rsidRPr="00AD03EB">
        <w:rPr>
          <w:lang w:val="en-US"/>
        </w:rPr>
        <w:t>ū</w:t>
      </w:r>
      <w:r w:rsidR="00593FE7" w:rsidRPr="00022FC7">
        <w:rPr>
          <w:lang w:val="en-US"/>
        </w:rPr>
        <w:t>n</w:t>
      </w:r>
      <w:proofErr w:type="spellEnd"/>
      <w:r w:rsidR="00593FE7">
        <w:rPr>
          <w:lang w:val="en-US"/>
        </w:rPr>
        <w:t xml:space="preserve"> Wang (prince of the </w:t>
      </w:r>
      <w:r w:rsidR="00F27B91">
        <w:rPr>
          <w:lang w:val="en-US"/>
        </w:rPr>
        <w:t>second</w:t>
      </w:r>
      <w:r w:rsidR="00593FE7">
        <w:rPr>
          <w:lang w:val="en-US"/>
        </w:rPr>
        <w:t xml:space="preserve"> degree</w:t>
      </w:r>
      <w:r w:rsidR="009E3C96">
        <w:rPr>
          <w:lang w:val="en-US"/>
        </w:rPr>
        <w:t>) to</w:t>
      </w:r>
      <w:r w:rsidR="00593FE7">
        <w:rPr>
          <w:lang w:val="en-US"/>
        </w:rPr>
        <w:t xml:space="preserve"> </w:t>
      </w:r>
      <w:proofErr w:type="spellStart"/>
      <w:r w:rsidR="00593FE7">
        <w:rPr>
          <w:lang w:val="en-US"/>
        </w:rPr>
        <w:t>Cin</w:t>
      </w:r>
      <w:proofErr w:type="spellEnd"/>
      <w:r w:rsidR="00593FE7">
        <w:rPr>
          <w:lang w:val="en-US"/>
        </w:rPr>
        <w:t xml:space="preserve"> Wang (prince of the first degree)</w:t>
      </w:r>
      <w:r w:rsidR="004E6D2C">
        <w:rPr>
          <w:lang w:val="en-US"/>
        </w:rPr>
        <w:t xml:space="preserve"> (</w:t>
      </w:r>
      <w:r w:rsidR="004E6D2C" w:rsidRPr="004E6D2C">
        <w:rPr>
          <w:i/>
          <w:lang w:val="en-US"/>
        </w:rPr>
        <w:t xml:space="preserve">Qing </w:t>
      </w:r>
      <w:proofErr w:type="spellStart"/>
      <w:r w:rsidR="004E6D2C" w:rsidRPr="004E6D2C">
        <w:rPr>
          <w:i/>
          <w:lang w:val="en-US"/>
        </w:rPr>
        <w:t>chao</w:t>
      </w:r>
      <w:proofErr w:type="spellEnd"/>
      <w:r w:rsidR="004E6D2C" w:rsidRPr="004E6D2C">
        <w:rPr>
          <w:i/>
          <w:lang w:val="en-US"/>
        </w:rPr>
        <w:t xml:space="preserve"> </w:t>
      </w:r>
      <w:proofErr w:type="spellStart"/>
      <w:r w:rsidR="004E6D2C" w:rsidRPr="004E6D2C">
        <w:rPr>
          <w:i/>
          <w:lang w:val="en-US"/>
        </w:rPr>
        <w:t>qianqi</w:t>
      </w:r>
      <w:proofErr w:type="spellEnd"/>
      <w:r w:rsidR="004E6D2C" w:rsidRPr="004E6D2C">
        <w:rPr>
          <w:i/>
          <w:lang w:val="en-US"/>
        </w:rPr>
        <w:t xml:space="preserve"> </w:t>
      </w:r>
      <w:proofErr w:type="spellStart"/>
      <w:r w:rsidR="004E6D2C" w:rsidRPr="004E6D2C">
        <w:rPr>
          <w:i/>
          <w:lang w:val="en-US"/>
        </w:rPr>
        <w:t>Lifanyuan</w:t>
      </w:r>
      <w:proofErr w:type="spellEnd"/>
      <w:r w:rsidR="004E6D2C">
        <w:rPr>
          <w:iCs/>
          <w:lang w:val="en-US"/>
        </w:rPr>
        <w:t xml:space="preserve"> 2010: vol. 1, </w:t>
      </w:r>
      <w:r w:rsidR="004E6D2C" w:rsidRPr="004E6D2C">
        <w:rPr>
          <w:lang w:val="en-US"/>
        </w:rPr>
        <w:t>222/223</w:t>
      </w:r>
      <w:r w:rsidR="004E6D2C">
        <w:rPr>
          <w:lang w:val="en-US"/>
        </w:rPr>
        <w:t>)</w:t>
      </w:r>
      <w:r w:rsidR="004E6D2C" w:rsidRPr="004E6D2C">
        <w:rPr>
          <w:lang w:val="en-US"/>
        </w:rPr>
        <w:t>.</w:t>
      </w:r>
      <w:r w:rsidR="004E6D2C">
        <w:rPr>
          <w:lang w:val="en-US"/>
        </w:rPr>
        <w:t xml:space="preserve"> </w:t>
      </w:r>
    </w:p>
    <w:p w:rsidR="00EA67CC" w:rsidRDefault="00031E0F" w:rsidP="004A02A8">
      <w:pPr>
        <w:autoSpaceDE w:val="0"/>
        <w:autoSpaceDN w:val="0"/>
        <w:adjustRightInd w:val="0"/>
        <w:jc w:val="both"/>
        <w:rPr>
          <w:lang w:val="en-US"/>
        </w:rPr>
      </w:pPr>
      <w:r w:rsidRPr="00A576B0">
        <w:rPr>
          <w:lang w:val="en-US"/>
        </w:rPr>
        <w:t>For the two</w:t>
      </w:r>
      <w:r w:rsidR="004C3026" w:rsidRPr="00A576B0">
        <w:rPr>
          <w:lang w:val="en-US"/>
        </w:rPr>
        <w:t xml:space="preserve"> </w:t>
      </w:r>
      <w:proofErr w:type="spellStart"/>
      <w:r w:rsidR="004C3026" w:rsidRPr="00A576B0">
        <w:rPr>
          <w:lang w:val="en-US"/>
        </w:rPr>
        <w:t>Qorčin</w:t>
      </w:r>
      <w:proofErr w:type="spellEnd"/>
      <w:r w:rsidR="004C3026" w:rsidRPr="00A576B0">
        <w:rPr>
          <w:lang w:val="en-US"/>
        </w:rPr>
        <w:t xml:space="preserve"> leaders</w:t>
      </w:r>
      <w:r w:rsidRPr="00A576B0">
        <w:rPr>
          <w:lang w:val="en-US"/>
        </w:rPr>
        <w:t>, however, it was a risky game</w:t>
      </w:r>
      <w:r w:rsidR="00CD0C52" w:rsidRPr="00A576B0">
        <w:rPr>
          <w:lang w:val="en-US"/>
        </w:rPr>
        <w:t>,</w:t>
      </w:r>
      <w:r w:rsidRPr="00A576B0">
        <w:rPr>
          <w:lang w:val="en-US"/>
        </w:rPr>
        <w:t xml:space="preserve"> and it is not likely that they</w:t>
      </w:r>
      <w:r w:rsidR="004C3026" w:rsidRPr="00A576B0">
        <w:rPr>
          <w:lang w:val="en-US"/>
        </w:rPr>
        <w:t xml:space="preserve"> were just trying to draw attention to themselves. </w:t>
      </w:r>
      <w:r w:rsidRPr="00A576B0">
        <w:rPr>
          <w:lang w:val="en-US"/>
        </w:rPr>
        <w:t>T</w:t>
      </w:r>
      <w:r w:rsidR="004C3026" w:rsidRPr="00A576B0">
        <w:rPr>
          <w:lang w:val="en-US"/>
        </w:rPr>
        <w:t xml:space="preserve">he </w:t>
      </w:r>
      <w:proofErr w:type="spellStart"/>
      <w:r w:rsidR="004C3026" w:rsidRPr="00A576B0">
        <w:rPr>
          <w:lang w:val="en-US"/>
        </w:rPr>
        <w:t>Lifanyuan</w:t>
      </w:r>
      <w:proofErr w:type="spellEnd"/>
      <w:r w:rsidR="004C3026" w:rsidRPr="00A576B0">
        <w:rPr>
          <w:lang w:val="en-US"/>
        </w:rPr>
        <w:t xml:space="preserve"> </w:t>
      </w:r>
      <w:r w:rsidRPr="00A576B0">
        <w:rPr>
          <w:lang w:val="en-US"/>
        </w:rPr>
        <w:t>officials were very mu</w:t>
      </w:r>
      <w:r w:rsidR="00A576B0" w:rsidRPr="00A576B0">
        <w:rPr>
          <w:lang w:val="en-US"/>
        </w:rPr>
        <w:t xml:space="preserve">ch annoyed with their </w:t>
      </w:r>
      <w:proofErr w:type="spellStart"/>
      <w:r w:rsidR="00A576B0" w:rsidRPr="00A576B0">
        <w:rPr>
          <w:lang w:val="en-US"/>
        </w:rPr>
        <w:t>behaviour</w:t>
      </w:r>
      <w:proofErr w:type="spellEnd"/>
      <w:r w:rsidR="00A576B0" w:rsidRPr="00A576B0">
        <w:rPr>
          <w:lang w:val="en-US"/>
        </w:rPr>
        <w:t xml:space="preserve">. They continued the memorial </w:t>
      </w:r>
      <w:r w:rsidR="004C3026" w:rsidRPr="00A576B0">
        <w:rPr>
          <w:lang w:val="en-US"/>
        </w:rPr>
        <w:t>suggest</w:t>
      </w:r>
      <w:r w:rsidR="00A576B0" w:rsidRPr="00A576B0">
        <w:rPr>
          <w:lang w:val="en-US"/>
        </w:rPr>
        <w:t xml:space="preserve">ing that – in return for their disrespectfulness – the two </w:t>
      </w:r>
      <w:proofErr w:type="spellStart"/>
      <w:r w:rsidR="00A576B0" w:rsidRPr="00A576B0">
        <w:rPr>
          <w:lang w:val="en-US"/>
        </w:rPr>
        <w:t>Qorčin</w:t>
      </w:r>
      <w:proofErr w:type="spellEnd"/>
      <w:r w:rsidR="00A576B0" w:rsidRPr="00A576B0">
        <w:rPr>
          <w:lang w:val="en-US"/>
        </w:rPr>
        <w:t xml:space="preserve"> </w:t>
      </w:r>
      <w:r w:rsidR="00E82CED">
        <w:rPr>
          <w:lang w:val="en-US"/>
        </w:rPr>
        <w:t xml:space="preserve">princes </w:t>
      </w:r>
      <w:r w:rsidR="00A576B0" w:rsidRPr="00A576B0">
        <w:rPr>
          <w:lang w:val="en-US"/>
        </w:rPr>
        <w:t xml:space="preserve">should be brought </w:t>
      </w:r>
      <w:r w:rsidR="004C3026" w:rsidRPr="00A576B0">
        <w:rPr>
          <w:lang w:val="en-US"/>
        </w:rPr>
        <w:t>to the capital and blame</w:t>
      </w:r>
      <w:r w:rsidR="00A576B0" w:rsidRPr="00A576B0">
        <w:rPr>
          <w:lang w:val="en-US"/>
        </w:rPr>
        <w:t>d</w:t>
      </w:r>
      <w:r w:rsidR="004C3026" w:rsidRPr="00A576B0">
        <w:rPr>
          <w:lang w:val="en-US"/>
        </w:rPr>
        <w:t xml:space="preserve"> the</w:t>
      </w:r>
      <w:r w:rsidR="00A576B0" w:rsidRPr="00A576B0">
        <w:rPr>
          <w:lang w:val="en-US"/>
        </w:rPr>
        <w:t>re</w:t>
      </w:r>
      <w:r w:rsidR="004C3026" w:rsidRPr="00A576B0">
        <w:rPr>
          <w:lang w:val="en-US"/>
        </w:rPr>
        <w:t>. The emperor, however, disapproved</w:t>
      </w:r>
      <w:r w:rsidR="004C3026">
        <w:rPr>
          <w:lang w:val="en-US"/>
        </w:rPr>
        <w:t xml:space="preserve"> of this idea</w:t>
      </w:r>
      <w:r>
        <w:rPr>
          <w:lang w:val="en-US"/>
        </w:rPr>
        <w:t xml:space="preserve"> and requested the </w:t>
      </w:r>
      <w:proofErr w:type="spellStart"/>
      <w:r>
        <w:rPr>
          <w:lang w:val="en-US"/>
        </w:rPr>
        <w:t>Lifanyuan</w:t>
      </w:r>
      <w:proofErr w:type="spellEnd"/>
      <w:r>
        <w:rPr>
          <w:lang w:val="en-US"/>
        </w:rPr>
        <w:t xml:space="preserve"> to discuss the matter again with officials of the </w:t>
      </w:r>
      <w:r w:rsidR="00C34B3C">
        <w:rPr>
          <w:lang w:val="en-US"/>
        </w:rPr>
        <w:t>“Upper Three Banners”</w:t>
      </w:r>
      <w:r w:rsidR="004C3026">
        <w:rPr>
          <w:lang w:val="en-US"/>
        </w:rPr>
        <w:t>.</w:t>
      </w:r>
      <w:r w:rsidR="004E6D2C">
        <w:rPr>
          <w:rStyle w:val="Endnotenzeichen"/>
          <w:lang w:val="en-US"/>
        </w:rPr>
        <w:endnoteReference w:id="28"/>
      </w:r>
      <w:r w:rsidR="004C3026">
        <w:rPr>
          <w:lang w:val="en-US"/>
        </w:rPr>
        <w:t xml:space="preserve"> </w:t>
      </w:r>
      <w:r w:rsidR="00317811">
        <w:rPr>
          <w:lang w:val="en-US"/>
        </w:rPr>
        <w:t xml:space="preserve">His answer to the memorial of the </w:t>
      </w:r>
      <w:proofErr w:type="spellStart"/>
      <w:r w:rsidR="00317811">
        <w:rPr>
          <w:lang w:val="en-US"/>
        </w:rPr>
        <w:t>Lifanyuan</w:t>
      </w:r>
      <w:proofErr w:type="spellEnd"/>
      <w:r w:rsidR="00317811">
        <w:rPr>
          <w:lang w:val="en-US"/>
        </w:rPr>
        <w:t xml:space="preserve"> goes as follows:</w:t>
      </w:r>
      <w:r w:rsidR="004E6D2C">
        <w:rPr>
          <w:rStyle w:val="Endnotenzeichen"/>
          <w:lang w:val="en-US"/>
        </w:rPr>
        <w:endnoteReference w:id="29"/>
      </w:r>
    </w:p>
    <w:p w:rsidR="005651FF" w:rsidRDefault="005651FF" w:rsidP="004A02A8">
      <w:pPr>
        <w:autoSpaceDE w:val="0"/>
        <w:autoSpaceDN w:val="0"/>
        <w:adjustRightInd w:val="0"/>
        <w:jc w:val="both"/>
        <w:rPr>
          <w:lang w:val="en-US"/>
        </w:rPr>
      </w:pPr>
    </w:p>
    <w:p w:rsidR="005651FF" w:rsidRPr="005651FF" w:rsidRDefault="005651FF" w:rsidP="004A02A8">
      <w:pPr>
        <w:ind w:left="708"/>
        <w:jc w:val="both"/>
        <w:rPr>
          <w:lang w:val="en-US"/>
        </w:rPr>
      </w:pPr>
      <w:r w:rsidRPr="005651FF">
        <w:rPr>
          <w:lang w:val="en-US"/>
        </w:rPr>
        <w:t xml:space="preserve">When I said “come” and „let us reconcile with the </w:t>
      </w:r>
      <w:proofErr w:type="spellStart"/>
      <w:r w:rsidRPr="005651FF">
        <w:rPr>
          <w:lang w:val="en-US"/>
        </w:rPr>
        <w:t>Joriktu</w:t>
      </w:r>
      <w:proofErr w:type="spellEnd"/>
      <w:r w:rsidRPr="005651FF">
        <w:rPr>
          <w:lang w:val="en-US"/>
        </w:rPr>
        <w:t xml:space="preserve"> Wang and the </w:t>
      </w:r>
      <w:proofErr w:type="spellStart"/>
      <w:r w:rsidRPr="005651FF">
        <w:rPr>
          <w:lang w:val="en-US"/>
        </w:rPr>
        <w:t>Baturu</w:t>
      </w:r>
      <w:proofErr w:type="spellEnd"/>
      <w:r w:rsidRPr="005651FF">
        <w:rPr>
          <w:lang w:val="en-US"/>
        </w:rPr>
        <w:t xml:space="preserve"> Wang like close relatives” they didn’t listen to my order and did not come. Obviously prevaricating is against the law and their excuses were greatly disrespectful. Your </w:t>
      </w:r>
      <w:r w:rsidR="00A14984" w:rsidRPr="005651FF">
        <w:rPr>
          <w:lang w:val="en-US"/>
        </w:rPr>
        <w:t>ministry</w:t>
      </w:r>
      <w:r w:rsidRPr="005651FF">
        <w:rPr>
          <w:lang w:val="en-US"/>
        </w:rPr>
        <w:t xml:space="preserve"> should get together with the officials of the three banners, discuss the matter and make a memorial</w:t>
      </w:r>
      <w:r w:rsidR="00616590">
        <w:rPr>
          <w:lang w:val="en-US"/>
        </w:rPr>
        <w:t>!</w:t>
      </w:r>
      <w:r w:rsidRPr="005651FF">
        <w:rPr>
          <w:lang w:val="en-US"/>
        </w:rPr>
        <w:t xml:space="preserve"> Drop [the idea] of bringing the </w:t>
      </w:r>
      <w:r w:rsidR="00E82CED">
        <w:rPr>
          <w:lang w:val="en-US"/>
        </w:rPr>
        <w:t>princes</w:t>
      </w:r>
      <w:r w:rsidR="00DD6111">
        <w:rPr>
          <w:lang w:val="en-US"/>
        </w:rPr>
        <w:t xml:space="preserve"> here</w:t>
      </w:r>
      <w:r w:rsidRPr="005651FF">
        <w:rPr>
          <w:lang w:val="en-US"/>
        </w:rPr>
        <w:t>!</w:t>
      </w:r>
    </w:p>
    <w:p w:rsidR="00EA67CC" w:rsidRPr="005651FF" w:rsidRDefault="00EA67CC" w:rsidP="004A02A8">
      <w:pPr>
        <w:autoSpaceDE w:val="0"/>
        <w:autoSpaceDN w:val="0"/>
        <w:adjustRightInd w:val="0"/>
        <w:jc w:val="both"/>
        <w:rPr>
          <w:lang w:val="en-US"/>
        </w:rPr>
      </w:pPr>
    </w:p>
    <w:p w:rsidR="0036061C" w:rsidRDefault="006F4C91" w:rsidP="004A02A8">
      <w:pPr>
        <w:jc w:val="both"/>
        <w:rPr>
          <w:lang w:val="en-US"/>
        </w:rPr>
      </w:pPr>
      <w:r>
        <w:rPr>
          <w:lang w:val="en-US"/>
        </w:rPr>
        <w:t>Even though the emperor stresse</w:t>
      </w:r>
      <w:r w:rsidR="00A576B0">
        <w:rPr>
          <w:lang w:val="en-US"/>
        </w:rPr>
        <w:t>d</w:t>
      </w:r>
      <w:r>
        <w:rPr>
          <w:lang w:val="en-US"/>
        </w:rPr>
        <w:t xml:space="preserve"> his family ties with the </w:t>
      </w:r>
      <w:proofErr w:type="spellStart"/>
      <w:r>
        <w:rPr>
          <w:lang w:val="en-US"/>
        </w:rPr>
        <w:t>Qor</w:t>
      </w:r>
      <w:r w:rsidRPr="00551CC0">
        <w:rPr>
          <w:bCs/>
          <w:lang w:val="en-US"/>
        </w:rPr>
        <w:t>č</w:t>
      </w:r>
      <w:r>
        <w:rPr>
          <w:bCs/>
          <w:lang w:val="en-US"/>
        </w:rPr>
        <w:t>in</w:t>
      </w:r>
      <w:proofErr w:type="spellEnd"/>
      <w:r>
        <w:rPr>
          <w:bCs/>
          <w:lang w:val="en-US"/>
        </w:rPr>
        <w:t xml:space="preserve"> nobility</w:t>
      </w:r>
      <w:r>
        <w:rPr>
          <w:lang w:val="en-US"/>
        </w:rPr>
        <w:t xml:space="preserve">, this could not conceal the obligatory character of his invitation. </w:t>
      </w:r>
      <w:r w:rsidR="00490CEC">
        <w:rPr>
          <w:lang w:val="en-US"/>
        </w:rPr>
        <w:t>Non-</w:t>
      </w:r>
      <w:r w:rsidR="00E529A3">
        <w:rPr>
          <w:lang w:val="en-US"/>
        </w:rPr>
        <w:t xml:space="preserve">compliance </w:t>
      </w:r>
      <w:r w:rsidR="006858B8">
        <w:rPr>
          <w:lang w:val="en-US"/>
        </w:rPr>
        <w:t xml:space="preserve">was a clear breach of the principles relevant in this kind of personal </w:t>
      </w:r>
      <w:r w:rsidR="00C270F5">
        <w:rPr>
          <w:lang w:val="en-US"/>
        </w:rPr>
        <w:t xml:space="preserve">but also political </w:t>
      </w:r>
      <w:r w:rsidR="006858B8">
        <w:rPr>
          <w:lang w:val="en-US"/>
        </w:rPr>
        <w:t>relationship. By refusing to accept the invitation</w:t>
      </w:r>
      <w:r w:rsidR="00AA2CC9">
        <w:rPr>
          <w:lang w:val="en-US"/>
        </w:rPr>
        <w:t>,</w:t>
      </w:r>
      <w:r w:rsidR="006858B8">
        <w:rPr>
          <w:lang w:val="en-US"/>
        </w:rPr>
        <w:t xml:space="preserve"> the </w:t>
      </w:r>
      <w:proofErr w:type="spellStart"/>
      <w:r w:rsidR="00484E39">
        <w:rPr>
          <w:lang w:val="en-US"/>
        </w:rPr>
        <w:t>Qorčin</w:t>
      </w:r>
      <w:proofErr w:type="spellEnd"/>
      <w:r w:rsidR="00484E39">
        <w:rPr>
          <w:lang w:val="en-US"/>
        </w:rPr>
        <w:t xml:space="preserve"> </w:t>
      </w:r>
      <w:r w:rsidR="006858B8">
        <w:rPr>
          <w:lang w:val="en-US"/>
        </w:rPr>
        <w:t>sen</w:t>
      </w:r>
      <w:r w:rsidR="00484E39">
        <w:rPr>
          <w:lang w:val="en-US"/>
        </w:rPr>
        <w:t>t</w:t>
      </w:r>
      <w:r w:rsidR="006858B8">
        <w:rPr>
          <w:lang w:val="en-US"/>
        </w:rPr>
        <w:t xml:space="preserve"> out a signal and</w:t>
      </w:r>
      <w:r w:rsidR="00484E39">
        <w:rPr>
          <w:lang w:val="en-US"/>
        </w:rPr>
        <w:t xml:space="preserve"> their failure to answer the letters of the emperor with adequate courtesy and affection was interpreted as </w:t>
      </w:r>
      <w:r w:rsidR="0036061C">
        <w:rPr>
          <w:lang w:val="en-US"/>
        </w:rPr>
        <w:t>hostil</w:t>
      </w:r>
      <w:r w:rsidR="00DD6111">
        <w:rPr>
          <w:lang w:val="en-US"/>
        </w:rPr>
        <w:t>e</w:t>
      </w:r>
      <w:r w:rsidR="00484E39">
        <w:rPr>
          <w:lang w:val="en-US"/>
        </w:rPr>
        <w:t xml:space="preserve"> </w:t>
      </w:r>
      <w:proofErr w:type="spellStart"/>
      <w:r w:rsidR="00484E39">
        <w:rPr>
          <w:lang w:val="en-US"/>
        </w:rPr>
        <w:t>behaviour</w:t>
      </w:r>
      <w:proofErr w:type="spellEnd"/>
      <w:r w:rsidR="006858B8">
        <w:rPr>
          <w:lang w:val="en-US"/>
        </w:rPr>
        <w:t>.</w:t>
      </w:r>
      <w:r w:rsidR="00624133">
        <w:rPr>
          <w:lang w:val="en-US"/>
        </w:rPr>
        <w:t xml:space="preserve"> </w:t>
      </w:r>
    </w:p>
    <w:p w:rsidR="0036061C" w:rsidRDefault="0036061C" w:rsidP="004A02A8">
      <w:pPr>
        <w:jc w:val="both"/>
        <w:rPr>
          <w:lang w:val="en-US"/>
        </w:rPr>
      </w:pPr>
    </w:p>
    <w:p w:rsidR="006F4C91" w:rsidRDefault="008E3E74" w:rsidP="004A02A8">
      <w:pPr>
        <w:jc w:val="both"/>
        <w:rPr>
          <w:lang w:val="en-US"/>
        </w:rPr>
      </w:pPr>
      <w:r>
        <w:rPr>
          <w:lang w:val="en-US"/>
        </w:rPr>
        <w:t xml:space="preserve">Even though we do not know the concrete reasons for the evasive answers of the two princes, their reaction </w:t>
      </w:r>
      <w:r w:rsidR="00922B27">
        <w:rPr>
          <w:lang w:val="en-US"/>
        </w:rPr>
        <w:t>can be comprehended</w:t>
      </w:r>
      <w:r w:rsidR="00590AD1">
        <w:rPr>
          <w:lang w:val="en-US"/>
        </w:rPr>
        <w:t xml:space="preserve"> within the historical context</w:t>
      </w:r>
      <w:r>
        <w:rPr>
          <w:lang w:val="en-US"/>
        </w:rPr>
        <w:t xml:space="preserve">. </w:t>
      </w:r>
      <w:r w:rsidR="004A2F9A">
        <w:rPr>
          <w:lang w:val="en-US"/>
        </w:rPr>
        <w:t xml:space="preserve">Among the Mongol </w:t>
      </w:r>
      <w:r w:rsidR="008F5E07">
        <w:rPr>
          <w:lang w:val="en-US"/>
        </w:rPr>
        <w:t>group</w:t>
      </w:r>
      <w:r w:rsidR="004A2F9A">
        <w:rPr>
          <w:lang w:val="en-US"/>
        </w:rPr>
        <w:t xml:space="preserve">s, which had joined the Manchu project by 1659, the </w:t>
      </w:r>
      <w:proofErr w:type="spellStart"/>
      <w:r w:rsidR="004A2F9A">
        <w:rPr>
          <w:lang w:val="en-US"/>
        </w:rPr>
        <w:t>Qorčin</w:t>
      </w:r>
      <w:proofErr w:type="spellEnd"/>
      <w:r w:rsidR="004A2F9A">
        <w:rPr>
          <w:lang w:val="en-US"/>
        </w:rPr>
        <w:t xml:space="preserve"> </w:t>
      </w:r>
      <w:r w:rsidR="00CD60B2">
        <w:rPr>
          <w:lang w:val="en-US"/>
        </w:rPr>
        <w:t xml:space="preserve">can be said to been </w:t>
      </w:r>
      <w:r w:rsidR="004A2F9A">
        <w:rPr>
          <w:lang w:val="en-US"/>
        </w:rPr>
        <w:t>the most influential</w:t>
      </w:r>
      <w:r w:rsidR="008F5E07">
        <w:rPr>
          <w:lang w:val="en-US"/>
        </w:rPr>
        <w:t xml:space="preserve"> confederation</w:t>
      </w:r>
      <w:r w:rsidR="004A2F9A">
        <w:rPr>
          <w:lang w:val="en-US"/>
        </w:rPr>
        <w:t>. The memorial bringing to light the differences the</w:t>
      </w:r>
      <w:r w:rsidR="002C5D41">
        <w:rPr>
          <w:lang w:val="en-US"/>
        </w:rPr>
        <w:t>ir leaders</w:t>
      </w:r>
      <w:r w:rsidR="004A2F9A">
        <w:rPr>
          <w:lang w:val="en-US"/>
        </w:rPr>
        <w:t xml:space="preserve"> had with the Shunzhi emperor may be regarded as one of the few documents revealing that – apart from open rebellion – there was dissatisfaction on the part of the Mongol nobility about their growing marginalization. </w:t>
      </w:r>
      <w:r w:rsidR="002C5D41">
        <w:rPr>
          <w:lang w:val="en-US"/>
        </w:rPr>
        <w:t>Court publications</w:t>
      </w:r>
      <w:r w:rsidR="00E73815">
        <w:rPr>
          <w:rStyle w:val="Endnotenzeichen"/>
          <w:lang w:val="en-US"/>
        </w:rPr>
        <w:endnoteReference w:id="30"/>
      </w:r>
      <w:r w:rsidR="00E73815">
        <w:rPr>
          <w:lang w:val="en-US"/>
        </w:rPr>
        <w:t xml:space="preserve"> </w:t>
      </w:r>
      <w:r w:rsidR="00BF4BD8">
        <w:rPr>
          <w:lang w:val="en-US"/>
        </w:rPr>
        <w:t>re</w:t>
      </w:r>
      <w:r w:rsidR="002C5D41">
        <w:rPr>
          <w:lang w:val="en-US"/>
        </w:rPr>
        <w:t>present arrangements for audiences with the emperor as an accomplished fact</w:t>
      </w:r>
      <w:r w:rsidR="000B0BCE">
        <w:rPr>
          <w:lang w:val="en-US"/>
        </w:rPr>
        <w:t>, thus concealing that they were the result of a long process of debate. It was not a matter of course that Mongol nobles appeared at the court in regular intervals</w:t>
      </w:r>
      <w:r w:rsidR="00A27E38">
        <w:rPr>
          <w:lang w:val="en-US"/>
        </w:rPr>
        <w:t>.</w:t>
      </w:r>
      <w:r w:rsidR="005A4C1F">
        <w:rPr>
          <w:lang w:val="en-US"/>
        </w:rPr>
        <w:t xml:space="preserve"> </w:t>
      </w:r>
      <w:r w:rsidR="00A27E38">
        <w:rPr>
          <w:lang w:val="en-US"/>
        </w:rPr>
        <w:t>T</w:t>
      </w:r>
      <w:r w:rsidR="005A4C1F">
        <w:rPr>
          <w:lang w:val="en-US"/>
        </w:rPr>
        <w:t xml:space="preserve">he modalities of their visits were specified by the </w:t>
      </w:r>
      <w:proofErr w:type="spellStart"/>
      <w:r w:rsidR="005A4C1F">
        <w:rPr>
          <w:lang w:val="en-US"/>
        </w:rPr>
        <w:t>Lifanyuan</w:t>
      </w:r>
      <w:proofErr w:type="spellEnd"/>
      <w:r w:rsidR="005A4C1F">
        <w:rPr>
          <w:lang w:val="en-US"/>
        </w:rPr>
        <w:t xml:space="preserve"> in the Shunzhi period</w:t>
      </w:r>
      <w:r w:rsidR="00CA1187">
        <w:rPr>
          <w:lang w:val="en-US"/>
        </w:rPr>
        <w:t>,</w:t>
      </w:r>
      <w:r w:rsidR="002924C7">
        <w:rPr>
          <w:lang w:val="en-US"/>
        </w:rPr>
        <w:t xml:space="preserve"> in the years immediately preceding the memorial under discussion</w:t>
      </w:r>
      <w:r w:rsidR="00E73815">
        <w:rPr>
          <w:lang w:val="en-US"/>
        </w:rPr>
        <w:t xml:space="preserve"> (</w:t>
      </w:r>
      <w:r w:rsidR="00E73815" w:rsidRPr="00E73815">
        <w:rPr>
          <w:i/>
          <w:lang w:val="en-US"/>
        </w:rPr>
        <w:t xml:space="preserve">Qing </w:t>
      </w:r>
      <w:proofErr w:type="spellStart"/>
      <w:r w:rsidR="00E73815" w:rsidRPr="00E73815">
        <w:rPr>
          <w:i/>
          <w:lang w:val="en-US"/>
        </w:rPr>
        <w:t>chao</w:t>
      </w:r>
      <w:proofErr w:type="spellEnd"/>
      <w:r w:rsidR="00E73815" w:rsidRPr="00E73815">
        <w:rPr>
          <w:i/>
          <w:lang w:val="en-US"/>
        </w:rPr>
        <w:t xml:space="preserve"> </w:t>
      </w:r>
      <w:proofErr w:type="spellStart"/>
      <w:r w:rsidR="00E73815" w:rsidRPr="00E73815">
        <w:rPr>
          <w:i/>
          <w:lang w:val="en-US"/>
        </w:rPr>
        <w:t>qianqi</w:t>
      </w:r>
      <w:proofErr w:type="spellEnd"/>
      <w:r w:rsidR="00E73815" w:rsidRPr="00E73815">
        <w:rPr>
          <w:i/>
          <w:lang w:val="en-US"/>
        </w:rPr>
        <w:t xml:space="preserve"> </w:t>
      </w:r>
      <w:proofErr w:type="spellStart"/>
      <w:r w:rsidR="00E73815" w:rsidRPr="00E73815">
        <w:rPr>
          <w:i/>
          <w:lang w:val="en-US"/>
        </w:rPr>
        <w:t>Lifanyuan</w:t>
      </w:r>
      <w:proofErr w:type="spellEnd"/>
      <w:r w:rsidR="00E73815" w:rsidRPr="00E73815">
        <w:rPr>
          <w:i/>
          <w:lang w:val="en-US"/>
        </w:rPr>
        <w:t xml:space="preserve"> </w:t>
      </w:r>
      <w:r w:rsidR="00E73815" w:rsidRPr="00E73815">
        <w:rPr>
          <w:iCs/>
          <w:lang w:val="en-US"/>
        </w:rPr>
        <w:t>2010: vol. 1, nos. 92, 105; Song</w:t>
      </w:r>
      <w:r w:rsidR="00E73815" w:rsidRPr="00E73815">
        <w:rPr>
          <w:lang w:val="en-US"/>
        </w:rPr>
        <w:t xml:space="preserve"> forthcoming</w:t>
      </w:r>
      <w:r w:rsidR="00E73815">
        <w:rPr>
          <w:lang w:val="en-US"/>
        </w:rPr>
        <w:t>)</w:t>
      </w:r>
      <w:r w:rsidR="000B0BCE">
        <w:rPr>
          <w:lang w:val="en-US"/>
        </w:rPr>
        <w:t xml:space="preserve">. </w:t>
      </w:r>
      <w:r w:rsidR="002924C7">
        <w:rPr>
          <w:lang w:val="en-US"/>
        </w:rPr>
        <w:t xml:space="preserve">For this reason, </w:t>
      </w:r>
      <w:r w:rsidR="00CA1187">
        <w:rPr>
          <w:lang w:val="en-US"/>
        </w:rPr>
        <w:t xml:space="preserve">the </w:t>
      </w:r>
      <w:proofErr w:type="spellStart"/>
      <w:r w:rsidR="00CA1187">
        <w:rPr>
          <w:lang w:val="en-US"/>
        </w:rPr>
        <w:t>Qorčin</w:t>
      </w:r>
      <w:proofErr w:type="spellEnd"/>
      <w:r w:rsidR="00CA1187">
        <w:rPr>
          <w:lang w:val="en-US"/>
        </w:rPr>
        <w:t xml:space="preserve"> </w:t>
      </w:r>
      <w:r w:rsidR="00CA1187" w:rsidRPr="00CA1187">
        <w:rPr>
          <w:lang w:val="en-US"/>
        </w:rPr>
        <w:t>rejection of the imperial invitation</w:t>
      </w:r>
      <w:r w:rsidR="00CA1187">
        <w:rPr>
          <w:lang w:val="en-US"/>
        </w:rPr>
        <w:t xml:space="preserve"> was probably not coincidental, but rather a reaction to attempts of the court to </w:t>
      </w:r>
      <w:r w:rsidR="00CC309F">
        <w:rPr>
          <w:lang w:val="en-US"/>
        </w:rPr>
        <w:t xml:space="preserve">establish a standardized procedure for </w:t>
      </w:r>
      <w:r w:rsidR="00CA1187">
        <w:rPr>
          <w:lang w:val="en-US"/>
        </w:rPr>
        <w:t xml:space="preserve">visits </w:t>
      </w:r>
      <w:r w:rsidR="00CC309F">
        <w:rPr>
          <w:lang w:val="en-US"/>
        </w:rPr>
        <w:t>to the court</w:t>
      </w:r>
      <w:r w:rsidR="00606796">
        <w:rPr>
          <w:lang w:val="en-US"/>
        </w:rPr>
        <w:t xml:space="preserve">. </w:t>
      </w:r>
      <w:proofErr w:type="spellStart"/>
      <w:r w:rsidR="00606796">
        <w:rPr>
          <w:lang w:val="en-US"/>
        </w:rPr>
        <w:t>Qorčin</w:t>
      </w:r>
      <w:proofErr w:type="spellEnd"/>
      <w:r w:rsidR="00606796">
        <w:rPr>
          <w:lang w:val="en-US"/>
        </w:rPr>
        <w:t xml:space="preserve"> princes as the most influential among the Qing Mongol nobility may have </w:t>
      </w:r>
      <w:r w:rsidR="000B0BCE">
        <w:rPr>
          <w:lang w:val="en-US"/>
        </w:rPr>
        <w:t>thought it beneath their dignity to be summoned to Beijing</w:t>
      </w:r>
      <w:r w:rsidR="00606796">
        <w:rPr>
          <w:lang w:val="en-US"/>
        </w:rPr>
        <w:t xml:space="preserve"> and to be treated according</w:t>
      </w:r>
      <w:r w:rsidR="00BF4BD8">
        <w:rPr>
          <w:lang w:val="en-US"/>
        </w:rPr>
        <w:t xml:space="preserve"> to</w:t>
      </w:r>
      <w:r w:rsidR="00606796">
        <w:rPr>
          <w:lang w:val="en-US"/>
        </w:rPr>
        <w:t xml:space="preserve"> a protocol, which</w:t>
      </w:r>
      <w:r w:rsidR="00BF4BD8">
        <w:rPr>
          <w:lang w:val="en-US"/>
        </w:rPr>
        <w:t xml:space="preserve"> was</w:t>
      </w:r>
      <w:r w:rsidR="00606796">
        <w:rPr>
          <w:lang w:val="en-US"/>
        </w:rPr>
        <w:t xml:space="preserve"> more or less equally applied to all Mongol princes.</w:t>
      </w:r>
    </w:p>
    <w:p w:rsidR="00AE7F2D" w:rsidRDefault="00AE7F2D" w:rsidP="004A02A8">
      <w:pPr>
        <w:autoSpaceDE w:val="0"/>
        <w:autoSpaceDN w:val="0"/>
        <w:adjustRightInd w:val="0"/>
        <w:jc w:val="both"/>
        <w:rPr>
          <w:lang w:val="en-US"/>
        </w:rPr>
      </w:pPr>
    </w:p>
    <w:p w:rsidR="00AE7F2D" w:rsidRDefault="00AE7F2D" w:rsidP="00E729D2">
      <w:pPr>
        <w:autoSpaceDE w:val="0"/>
        <w:autoSpaceDN w:val="0"/>
        <w:adjustRightInd w:val="0"/>
        <w:rPr>
          <w:lang w:val="en-US"/>
        </w:rPr>
      </w:pPr>
    </w:p>
    <w:p w:rsidR="00644BAC" w:rsidRPr="00644BAC" w:rsidRDefault="00644BAC" w:rsidP="00544214">
      <w:pPr>
        <w:jc w:val="both"/>
        <w:rPr>
          <w:b/>
          <w:lang w:val="en-US"/>
        </w:rPr>
      </w:pPr>
      <w:r w:rsidRPr="00644BAC">
        <w:rPr>
          <w:b/>
          <w:lang w:val="en-US"/>
        </w:rPr>
        <w:t>Conclusion</w:t>
      </w:r>
    </w:p>
    <w:p w:rsidR="00C86A55" w:rsidRDefault="00757E20" w:rsidP="00826ED9">
      <w:pPr>
        <w:jc w:val="both"/>
        <w:rPr>
          <w:lang w:val="en-US"/>
        </w:rPr>
      </w:pPr>
      <w:r>
        <w:rPr>
          <w:lang w:val="en-US"/>
        </w:rPr>
        <w:t xml:space="preserve">The affiliation of Mongols to the Qing court was rooted in a network of personal relations, which had been built up between the Manchu ruler and </w:t>
      </w:r>
      <w:r w:rsidR="00826ED9">
        <w:rPr>
          <w:lang w:val="en-US"/>
        </w:rPr>
        <w:t>members</w:t>
      </w:r>
      <w:r>
        <w:rPr>
          <w:lang w:val="en-US"/>
        </w:rPr>
        <w:t xml:space="preserve"> </w:t>
      </w:r>
      <w:r w:rsidR="00826ED9">
        <w:rPr>
          <w:lang w:val="en-US"/>
        </w:rPr>
        <w:t xml:space="preserve">of the </w:t>
      </w:r>
      <w:r>
        <w:rPr>
          <w:lang w:val="en-US"/>
        </w:rPr>
        <w:t xml:space="preserve">Mongol </w:t>
      </w:r>
      <w:r w:rsidR="00826ED9">
        <w:rPr>
          <w:lang w:val="en-US"/>
        </w:rPr>
        <w:t>nobility</w:t>
      </w:r>
      <w:r>
        <w:rPr>
          <w:lang w:val="en-US"/>
        </w:rPr>
        <w:t xml:space="preserve">. </w:t>
      </w:r>
      <w:r w:rsidR="00826ED9">
        <w:rPr>
          <w:lang w:val="en-US"/>
        </w:rPr>
        <w:t xml:space="preserve">Personal bonds, however, need </w:t>
      </w:r>
      <w:r w:rsidR="00F646C4">
        <w:rPr>
          <w:lang w:val="en-US"/>
        </w:rPr>
        <w:t xml:space="preserve">to be reinforced and consolidated </w:t>
      </w:r>
      <w:r w:rsidR="00B3665F">
        <w:rPr>
          <w:lang w:val="en-US"/>
        </w:rPr>
        <w:t xml:space="preserve">permanently. This </w:t>
      </w:r>
      <w:r w:rsidR="00F646C4">
        <w:rPr>
          <w:lang w:val="en-US"/>
        </w:rPr>
        <w:t>task w</w:t>
      </w:r>
      <w:r w:rsidR="00B3665F">
        <w:rPr>
          <w:lang w:val="en-US"/>
        </w:rPr>
        <w:t>as</w:t>
      </w:r>
      <w:r w:rsidR="00F646C4">
        <w:rPr>
          <w:lang w:val="en-US"/>
        </w:rPr>
        <w:t xml:space="preserve"> taken over by the </w:t>
      </w:r>
      <w:proofErr w:type="spellStart"/>
      <w:r w:rsidR="00F646C4">
        <w:rPr>
          <w:lang w:val="en-US"/>
        </w:rPr>
        <w:t>Lifanyuan</w:t>
      </w:r>
      <w:proofErr w:type="spellEnd"/>
      <w:r w:rsidR="00F646C4">
        <w:rPr>
          <w:lang w:val="en-US"/>
        </w:rPr>
        <w:t>.</w:t>
      </w:r>
      <w:r w:rsidR="00B3665F">
        <w:rPr>
          <w:lang w:val="en-US"/>
        </w:rPr>
        <w:t xml:space="preserve"> Its officials provided the </w:t>
      </w:r>
      <w:r w:rsidR="00CF3DB3">
        <w:rPr>
          <w:lang w:val="en-US"/>
        </w:rPr>
        <w:t xml:space="preserve">court with the </w:t>
      </w:r>
      <w:r w:rsidR="00B3665F">
        <w:rPr>
          <w:lang w:val="en-US"/>
        </w:rPr>
        <w:t xml:space="preserve">necessary expertise to deal with the complicated network of relationships. They were informed about </w:t>
      </w:r>
      <w:r w:rsidR="003606DB">
        <w:rPr>
          <w:lang w:val="en-US"/>
        </w:rPr>
        <w:t xml:space="preserve">the genealogy </w:t>
      </w:r>
      <w:r w:rsidR="00B3665F">
        <w:rPr>
          <w:lang w:val="en-US"/>
        </w:rPr>
        <w:lastRenderedPageBreak/>
        <w:t xml:space="preserve">of </w:t>
      </w:r>
      <w:r w:rsidR="003606DB">
        <w:rPr>
          <w:lang w:val="en-US"/>
        </w:rPr>
        <w:t>each</w:t>
      </w:r>
      <w:r w:rsidR="00B3665F">
        <w:rPr>
          <w:lang w:val="en-US"/>
        </w:rPr>
        <w:t xml:space="preserve"> Mongol noble house, kept up regular correspondence, and, of course, were responsible for the staging of</w:t>
      </w:r>
      <w:r w:rsidR="00CF3DB3">
        <w:rPr>
          <w:lang w:val="en-US"/>
        </w:rPr>
        <w:t xml:space="preserve"> the nobilities</w:t>
      </w:r>
      <w:r w:rsidR="00B3665F">
        <w:rPr>
          <w:lang w:val="en-US"/>
        </w:rPr>
        <w:t>’ visits to the court and the gift exchange, which it involved.</w:t>
      </w:r>
      <w:r w:rsidR="00826ED9">
        <w:rPr>
          <w:lang w:val="en-US"/>
        </w:rPr>
        <w:t xml:space="preserve"> G</w:t>
      </w:r>
      <w:r w:rsidR="00AF73AC">
        <w:rPr>
          <w:lang w:val="en-US"/>
        </w:rPr>
        <w:t xml:space="preserve">ift-exchange </w:t>
      </w:r>
      <w:r w:rsidR="00826ED9">
        <w:rPr>
          <w:lang w:val="en-US"/>
        </w:rPr>
        <w:t xml:space="preserve">was an </w:t>
      </w:r>
      <w:r w:rsidR="00AF73AC">
        <w:rPr>
          <w:lang w:val="en-US"/>
        </w:rPr>
        <w:t xml:space="preserve">element of </w:t>
      </w:r>
      <w:r w:rsidR="00CF3DB3">
        <w:rPr>
          <w:lang w:val="en-US"/>
        </w:rPr>
        <w:t>d</w:t>
      </w:r>
      <w:r w:rsidR="00AF73AC">
        <w:rPr>
          <w:lang w:val="en-US"/>
        </w:rPr>
        <w:t xml:space="preserve">iplomatic </w:t>
      </w:r>
      <w:r w:rsidR="00CF3DB3">
        <w:rPr>
          <w:lang w:val="en-US"/>
        </w:rPr>
        <w:t>activity</w:t>
      </w:r>
      <w:r w:rsidR="00AF73AC">
        <w:rPr>
          <w:lang w:val="en-US"/>
        </w:rPr>
        <w:t xml:space="preserve"> Mongols were well acquainted with before the rise of the Manchus. By re-interpreting these practices and </w:t>
      </w:r>
      <w:r w:rsidR="0034402E">
        <w:rPr>
          <w:lang w:val="en-US"/>
        </w:rPr>
        <w:t>putting a new emphasis on the generosity and grace of the emperor, the Qing filled existing forms of interaction with a new meaning. A</w:t>
      </w:r>
      <w:r w:rsidR="00CD6968">
        <w:rPr>
          <w:lang w:val="en-US"/>
        </w:rPr>
        <w:t xml:space="preserve"> key trend in the representation of gift-exchange seem</w:t>
      </w:r>
      <w:r w:rsidR="0034402E">
        <w:rPr>
          <w:lang w:val="en-US"/>
        </w:rPr>
        <w:t xml:space="preserve">s </w:t>
      </w:r>
      <w:r w:rsidR="00CD6968">
        <w:rPr>
          <w:lang w:val="en-US"/>
        </w:rPr>
        <w:t xml:space="preserve">to be a re-evaluation of what was </w:t>
      </w:r>
      <w:r w:rsidR="006C27B9">
        <w:rPr>
          <w:lang w:val="en-US"/>
        </w:rPr>
        <w:t>donated</w:t>
      </w:r>
      <w:r w:rsidR="00CD6968">
        <w:rPr>
          <w:lang w:val="en-US"/>
        </w:rPr>
        <w:t xml:space="preserve"> by the court, which implied that the Mongol nobility was </w:t>
      </w:r>
      <w:r w:rsidR="006C27B9">
        <w:rPr>
          <w:lang w:val="en-US"/>
        </w:rPr>
        <w:t xml:space="preserve">placed </w:t>
      </w:r>
      <w:r w:rsidR="00CD6968">
        <w:rPr>
          <w:lang w:val="en-US"/>
        </w:rPr>
        <w:t>under the obligation to requite</w:t>
      </w:r>
      <w:r w:rsidR="00E73815" w:rsidRPr="00E73815">
        <w:rPr>
          <w:lang w:val="en-US"/>
        </w:rPr>
        <w:t xml:space="preserve"> </w:t>
      </w:r>
      <w:r w:rsidR="00E73815">
        <w:rPr>
          <w:lang w:val="en-US"/>
        </w:rPr>
        <w:t>(</w:t>
      </w:r>
      <w:r w:rsidR="00E73815" w:rsidRPr="00E73815">
        <w:rPr>
          <w:lang w:val="en-US"/>
        </w:rPr>
        <w:t>Atwood</w:t>
      </w:r>
      <w:r w:rsidR="00E73815">
        <w:rPr>
          <w:lang w:val="en-US"/>
        </w:rPr>
        <w:t xml:space="preserve"> 2000)</w:t>
      </w:r>
      <w:r w:rsidR="00CD6968">
        <w:rPr>
          <w:lang w:val="en-US"/>
        </w:rPr>
        <w:t xml:space="preserve">. </w:t>
      </w:r>
    </w:p>
    <w:p w:rsidR="001D44AE" w:rsidRDefault="00C42B09" w:rsidP="00544214">
      <w:pPr>
        <w:autoSpaceDE w:val="0"/>
        <w:autoSpaceDN w:val="0"/>
        <w:adjustRightInd w:val="0"/>
        <w:jc w:val="both"/>
        <w:rPr>
          <w:lang w:val="en-US"/>
        </w:rPr>
      </w:pPr>
      <w:r>
        <w:rPr>
          <w:lang w:val="en-US"/>
        </w:rPr>
        <w:t>With regard to the Manchu heritage, Pamela Crossley has drawn our attention to formalizing tendencies in the administrative, political, cultural and spiritual life of the Qing</w:t>
      </w:r>
      <w:r w:rsidR="00E73815">
        <w:rPr>
          <w:lang w:val="en-US"/>
        </w:rPr>
        <w:t xml:space="preserve"> (1987: 779)</w:t>
      </w:r>
      <w:r>
        <w:rPr>
          <w:lang w:val="en-US"/>
        </w:rPr>
        <w:t>. She</w:t>
      </w:r>
      <w:r w:rsidR="007719F0">
        <w:rPr>
          <w:lang w:val="en-US"/>
        </w:rPr>
        <w:t xml:space="preserve"> contends</w:t>
      </w:r>
      <w:r w:rsidR="00777D2B">
        <w:rPr>
          <w:lang w:val="en-US"/>
        </w:rPr>
        <w:t>:</w:t>
      </w:r>
      <w:r>
        <w:rPr>
          <w:lang w:val="en-US"/>
        </w:rPr>
        <w:t xml:space="preserve"> “In its political aspects this meant the progressive bureaucratization, regulation, and depersonalization of the state in </w:t>
      </w:r>
      <w:r w:rsidR="008A4AC1">
        <w:rPr>
          <w:lang w:val="en-US"/>
        </w:rPr>
        <w:t>displacement of the personal, diffused authority that had once been vested by tradition in the clans and confederations”</w:t>
      </w:r>
      <w:r w:rsidR="00E73815">
        <w:rPr>
          <w:lang w:val="en-US"/>
        </w:rPr>
        <w:t xml:space="preserve"> (761)</w:t>
      </w:r>
      <w:r w:rsidR="008A4AC1">
        <w:rPr>
          <w:lang w:val="en-US"/>
        </w:rPr>
        <w:t>.</w:t>
      </w:r>
      <w:r w:rsidR="007719F0">
        <w:rPr>
          <w:lang w:val="en-US"/>
        </w:rPr>
        <w:t xml:space="preserve"> As I would like to argue, </w:t>
      </w:r>
      <w:r w:rsidR="00315D98">
        <w:rPr>
          <w:lang w:val="en-US"/>
        </w:rPr>
        <w:t xml:space="preserve">a similar trend </w:t>
      </w:r>
      <w:r w:rsidR="00E755F5">
        <w:rPr>
          <w:lang w:val="en-US"/>
        </w:rPr>
        <w:t>towards streamlining, standardiz</w:t>
      </w:r>
      <w:r w:rsidR="00315D98">
        <w:rPr>
          <w:lang w:val="en-US"/>
        </w:rPr>
        <w:t xml:space="preserve">ing and formalizing can be observed in respect of the interaction of the Qing court with the Mongol nobility. </w:t>
      </w:r>
      <w:r w:rsidR="0081140F">
        <w:rPr>
          <w:lang w:val="en-US"/>
        </w:rPr>
        <w:t xml:space="preserve">The network of personal relationships, which had developed during the time of Hong </w:t>
      </w:r>
      <w:proofErr w:type="spellStart"/>
      <w:r w:rsidR="0081140F">
        <w:rPr>
          <w:lang w:val="en-US"/>
        </w:rPr>
        <w:t>Taiji</w:t>
      </w:r>
      <w:proofErr w:type="spellEnd"/>
      <w:r w:rsidR="0081140F">
        <w:rPr>
          <w:lang w:val="en-US"/>
        </w:rPr>
        <w:t xml:space="preserve">, was maintained by exchange of gifts and courtesies, regular correspondence and visits to the court. </w:t>
      </w:r>
      <w:r w:rsidR="00B33BA6">
        <w:rPr>
          <w:lang w:val="en-US"/>
        </w:rPr>
        <w:t xml:space="preserve">During Hong </w:t>
      </w:r>
      <w:proofErr w:type="spellStart"/>
      <w:r w:rsidR="00B33BA6">
        <w:rPr>
          <w:lang w:val="en-US"/>
        </w:rPr>
        <w:t>Taiji’s</w:t>
      </w:r>
      <w:proofErr w:type="spellEnd"/>
      <w:r w:rsidR="00B33BA6">
        <w:rPr>
          <w:lang w:val="en-US"/>
        </w:rPr>
        <w:t xml:space="preserve"> rule t</w:t>
      </w:r>
      <w:r w:rsidR="0081140F">
        <w:rPr>
          <w:lang w:val="en-US"/>
        </w:rPr>
        <w:t>hese contacts were by no means informal, but</w:t>
      </w:r>
      <w:r w:rsidR="00826ED9">
        <w:rPr>
          <w:lang w:val="en-US"/>
        </w:rPr>
        <w:t xml:space="preserve"> </w:t>
      </w:r>
      <w:r w:rsidR="0081140F">
        <w:rPr>
          <w:lang w:val="en-US"/>
        </w:rPr>
        <w:t xml:space="preserve">there were certain standards </w:t>
      </w:r>
      <w:r w:rsidR="00067EA5">
        <w:rPr>
          <w:lang w:val="en-US"/>
        </w:rPr>
        <w:t xml:space="preserve">pertaining for example to the </w:t>
      </w:r>
      <w:r w:rsidR="0081140F">
        <w:rPr>
          <w:lang w:val="en-US"/>
        </w:rPr>
        <w:t>procedure</w:t>
      </w:r>
      <w:r w:rsidR="00067EA5">
        <w:rPr>
          <w:lang w:val="en-US"/>
        </w:rPr>
        <w:t>s upon the arrival and departure of a Mongol mission at th</w:t>
      </w:r>
      <w:r w:rsidR="00FA3E09">
        <w:rPr>
          <w:lang w:val="en-US"/>
        </w:rPr>
        <w:t>e court, festive meals and the nature of mutual presents</w:t>
      </w:r>
      <w:r w:rsidR="00E73815">
        <w:rPr>
          <w:lang w:val="en-US"/>
        </w:rPr>
        <w:t xml:space="preserve"> (Gruber 2006: 111-117)</w:t>
      </w:r>
      <w:r w:rsidR="00067EA5">
        <w:rPr>
          <w:lang w:val="en-US"/>
        </w:rPr>
        <w:t xml:space="preserve">. </w:t>
      </w:r>
      <w:r w:rsidR="00323409">
        <w:rPr>
          <w:lang w:val="en-US"/>
        </w:rPr>
        <w:t xml:space="preserve">There was, however, still some room for flexibility and a range of variation in the handling of these personal relationships. </w:t>
      </w:r>
      <w:r w:rsidR="001D44AE">
        <w:rPr>
          <w:lang w:val="en-US"/>
        </w:rPr>
        <w:t xml:space="preserve">With the </w:t>
      </w:r>
      <w:proofErr w:type="spellStart"/>
      <w:r w:rsidR="001D44AE">
        <w:rPr>
          <w:lang w:val="en-US"/>
        </w:rPr>
        <w:t>Lifan</w:t>
      </w:r>
      <w:r w:rsidR="00FA3E09">
        <w:rPr>
          <w:lang w:val="en-US"/>
        </w:rPr>
        <w:t>yuan</w:t>
      </w:r>
      <w:proofErr w:type="spellEnd"/>
      <w:r w:rsidR="00FA3E09">
        <w:rPr>
          <w:lang w:val="en-US"/>
        </w:rPr>
        <w:t xml:space="preserve"> taking over responsibility</w:t>
      </w:r>
      <w:r w:rsidR="001D44AE">
        <w:rPr>
          <w:lang w:val="en-US"/>
        </w:rPr>
        <w:t xml:space="preserve"> </w:t>
      </w:r>
      <w:r w:rsidR="00FA3E09">
        <w:rPr>
          <w:lang w:val="en-US"/>
        </w:rPr>
        <w:t xml:space="preserve">and drafting </w:t>
      </w:r>
      <w:r w:rsidR="001D44AE">
        <w:rPr>
          <w:lang w:val="en-US"/>
        </w:rPr>
        <w:t xml:space="preserve">rules </w:t>
      </w:r>
      <w:r w:rsidR="00FA3E09">
        <w:rPr>
          <w:lang w:val="en-US"/>
        </w:rPr>
        <w:t>concerning</w:t>
      </w:r>
      <w:r w:rsidR="001D44AE">
        <w:rPr>
          <w:lang w:val="en-US"/>
        </w:rPr>
        <w:t xml:space="preserve"> the frequency, composition and modalities of Mongol visits to the Manchu court</w:t>
      </w:r>
      <w:r w:rsidR="004B43C7">
        <w:rPr>
          <w:lang w:val="en-US"/>
        </w:rPr>
        <w:t>,</w:t>
      </w:r>
      <w:r w:rsidR="00FA3E09">
        <w:rPr>
          <w:lang w:val="en-US"/>
        </w:rPr>
        <w:t xml:space="preserve"> the framework</w:t>
      </w:r>
      <w:r w:rsidR="001D44AE">
        <w:rPr>
          <w:lang w:val="en-US"/>
        </w:rPr>
        <w:t xml:space="preserve"> became much more rigid. Likewise, rules for the form of </w:t>
      </w:r>
      <w:r w:rsidR="008E3E74">
        <w:rPr>
          <w:lang w:val="en-US"/>
        </w:rPr>
        <w:t xml:space="preserve">official </w:t>
      </w:r>
      <w:r w:rsidR="001D44AE">
        <w:rPr>
          <w:lang w:val="en-US"/>
        </w:rPr>
        <w:t>correspondence were issued, and, by grading all members of the Mongols nobility, each person was positioned according to his relation with the Qing imperial house.</w:t>
      </w:r>
      <w:r w:rsidR="00544214">
        <w:rPr>
          <w:lang w:val="en-US"/>
        </w:rPr>
        <w:t xml:space="preserve"> T</w:t>
      </w:r>
      <w:r w:rsidR="00CB0A23">
        <w:rPr>
          <w:lang w:val="en-US"/>
        </w:rPr>
        <w:t xml:space="preserve">he </w:t>
      </w:r>
      <w:proofErr w:type="spellStart"/>
      <w:r w:rsidR="001D44AE">
        <w:rPr>
          <w:lang w:val="en-US"/>
        </w:rPr>
        <w:t>Lifanyuan</w:t>
      </w:r>
      <w:proofErr w:type="spellEnd"/>
      <w:r w:rsidR="001D44AE">
        <w:rPr>
          <w:lang w:val="en-US"/>
        </w:rPr>
        <w:t xml:space="preserve"> </w:t>
      </w:r>
      <w:r w:rsidR="00CB0A23">
        <w:rPr>
          <w:lang w:val="en-US"/>
        </w:rPr>
        <w:t xml:space="preserve">seems to </w:t>
      </w:r>
      <w:r w:rsidR="001D44AE">
        <w:rPr>
          <w:lang w:val="en-US"/>
        </w:rPr>
        <w:t>epitomize th</w:t>
      </w:r>
      <w:r w:rsidR="00CB0A23">
        <w:rPr>
          <w:lang w:val="en-US"/>
        </w:rPr>
        <w:t>e wish for formalized processes</w:t>
      </w:r>
      <w:r w:rsidR="00E352FD">
        <w:rPr>
          <w:lang w:val="en-US"/>
        </w:rPr>
        <w:t>, which determined the political role of the Mongol elite within the state</w:t>
      </w:r>
      <w:r w:rsidR="001D44AE">
        <w:rPr>
          <w:lang w:val="en-US"/>
        </w:rPr>
        <w:t>.</w:t>
      </w:r>
    </w:p>
    <w:p w:rsidR="00B70B3A" w:rsidRDefault="00B70B3A" w:rsidP="00544214">
      <w:pPr>
        <w:autoSpaceDE w:val="0"/>
        <w:autoSpaceDN w:val="0"/>
        <w:adjustRightInd w:val="0"/>
        <w:jc w:val="both"/>
        <w:rPr>
          <w:lang w:val="en-US"/>
        </w:rPr>
      </w:pPr>
    </w:p>
    <w:p w:rsidR="00826ED9" w:rsidRDefault="00826ED9" w:rsidP="00544214">
      <w:pPr>
        <w:autoSpaceDE w:val="0"/>
        <w:autoSpaceDN w:val="0"/>
        <w:adjustRightInd w:val="0"/>
        <w:jc w:val="both"/>
        <w:rPr>
          <w:lang w:val="en-US"/>
        </w:rPr>
      </w:pPr>
      <w:r w:rsidRPr="00826ED9">
        <w:rPr>
          <w:lang w:val="en-US"/>
        </w:rPr>
        <w:t xml:space="preserve">Exploring law and citizenship in the Russian empire, Jane Burbank pointed out: “The connections that bound elite servitors into the skein of rule and service were personal, but their ultimate reference was always to the state and its unmatchable </w:t>
      </w:r>
      <w:r w:rsidR="00A42948">
        <w:rPr>
          <w:lang w:val="en-US"/>
        </w:rPr>
        <w:t>ability to reward and punish</w:t>
      </w:r>
      <w:r w:rsidRPr="00826ED9">
        <w:rPr>
          <w:lang w:val="en-US"/>
        </w:rPr>
        <w:t>”</w:t>
      </w:r>
      <w:r w:rsidR="00A42948">
        <w:rPr>
          <w:lang w:val="en-US"/>
        </w:rPr>
        <w:t xml:space="preserve"> (2007:</w:t>
      </w:r>
      <w:r w:rsidR="00A42948" w:rsidRPr="00A42948">
        <w:rPr>
          <w:lang w:val="en-US"/>
        </w:rPr>
        <w:t xml:space="preserve"> 93</w:t>
      </w:r>
      <w:r w:rsidR="00A42948">
        <w:rPr>
          <w:lang w:val="en-US"/>
        </w:rPr>
        <w:t>).</w:t>
      </w:r>
      <w:r w:rsidR="002C03B3">
        <w:rPr>
          <w:lang w:val="en-US"/>
        </w:rPr>
        <w:t xml:space="preserve"> Linking t</w:t>
      </w:r>
      <w:r w:rsidR="00A723BE">
        <w:rPr>
          <w:lang w:val="en-US"/>
        </w:rPr>
        <w:t>he Mongol nobility</w:t>
      </w:r>
      <w:r w:rsidR="002C03B3">
        <w:rPr>
          <w:lang w:val="en-US"/>
        </w:rPr>
        <w:t xml:space="preserve"> to the state</w:t>
      </w:r>
      <w:r w:rsidR="00A723BE">
        <w:rPr>
          <w:lang w:val="en-US"/>
        </w:rPr>
        <w:t xml:space="preserve">, the </w:t>
      </w:r>
      <w:proofErr w:type="spellStart"/>
      <w:r w:rsidR="00A723BE">
        <w:rPr>
          <w:lang w:val="en-US"/>
        </w:rPr>
        <w:t>Lifanyuan</w:t>
      </w:r>
      <w:proofErr w:type="spellEnd"/>
      <w:r w:rsidR="00A723BE">
        <w:rPr>
          <w:lang w:val="en-US"/>
        </w:rPr>
        <w:t xml:space="preserve"> </w:t>
      </w:r>
      <w:r w:rsidR="002C03B3">
        <w:rPr>
          <w:lang w:val="en-US"/>
        </w:rPr>
        <w:t xml:space="preserve">established rules, which more or less equally pertained to all noble houses regardless of their standing prior to their affiliation with the Qing. </w:t>
      </w:r>
      <w:r w:rsidR="00417115">
        <w:rPr>
          <w:lang w:val="en-US"/>
        </w:rPr>
        <w:t>There is indication</w:t>
      </w:r>
      <w:r w:rsidR="00BC4AAE">
        <w:rPr>
          <w:lang w:val="en-US"/>
        </w:rPr>
        <w:t xml:space="preserve"> that this policy was also met with opposition</w:t>
      </w:r>
      <w:r w:rsidR="00417115">
        <w:rPr>
          <w:lang w:val="en-US"/>
        </w:rPr>
        <w:t xml:space="preserve"> and c</w:t>
      </w:r>
      <w:r w:rsidR="00FA3E09">
        <w:rPr>
          <w:lang w:val="en-US"/>
        </w:rPr>
        <w:t xml:space="preserve">eremonial instructions were not always put into practice as </w:t>
      </w:r>
      <w:r w:rsidR="00417115">
        <w:rPr>
          <w:lang w:val="en-US"/>
        </w:rPr>
        <w:t xml:space="preserve">smoothly as </w:t>
      </w:r>
      <w:r w:rsidR="00FA3E09">
        <w:rPr>
          <w:lang w:val="en-US"/>
        </w:rPr>
        <w:t xml:space="preserve">might appear from the perusal of court publications. </w:t>
      </w:r>
      <w:r w:rsidR="0051496E">
        <w:rPr>
          <w:lang w:val="en-US"/>
        </w:rPr>
        <w:t>Participati</w:t>
      </w:r>
      <w:r w:rsidR="00417115">
        <w:rPr>
          <w:lang w:val="en-US"/>
        </w:rPr>
        <w:t>n</w:t>
      </w:r>
      <w:r w:rsidR="0051496E">
        <w:rPr>
          <w:lang w:val="en-US"/>
        </w:rPr>
        <w:t>g</w:t>
      </w:r>
      <w:r w:rsidR="00417115">
        <w:rPr>
          <w:lang w:val="en-US"/>
        </w:rPr>
        <w:t xml:space="preserve"> in festive ceremonies </w:t>
      </w:r>
      <w:r w:rsidR="0051496E">
        <w:rPr>
          <w:lang w:val="en-US"/>
        </w:rPr>
        <w:t xml:space="preserve">at the capital </w:t>
      </w:r>
      <w:r w:rsidR="00417115">
        <w:rPr>
          <w:lang w:val="en-US"/>
        </w:rPr>
        <w:t>was a way of confirming the bond between the emperor and the Mongol nobility</w:t>
      </w:r>
      <w:r w:rsidR="00A42948" w:rsidRPr="00A42948">
        <w:rPr>
          <w:lang w:val="en-US"/>
        </w:rPr>
        <w:t xml:space="preserve"> </w:t>
      </w:r>
      <w:r w:rsidR="00A42948">
        <w:rPr>
          <w:lang w:val="en-US"/>
        </w:rPr>
        <w:t>(</w:t>
      </w:r>
      <w:proofErr w:type="spellStart"/>
      <w:r w:rsidR="00A42948" w:rsidRPr="00A42948">
        <w:rPr>
          <w:lang w:val="en-US"/>
        </w:rPr>
        <w:t>Heuschert-Laage</w:t>
      </w:r>
      <w:proofErr w:type="spellEnd"/>
      <w:r w:rsidR="00A42948">
        <w:rPr>
          <w:lang w:val="en-US"/>
        </w:rPr>
        <w:t xml:space="preserve"> 2011: 5</w:t>
      </w:r>
      <w:r w:rsidR="00A42948" w:rsidRPr="00A42948">
        <w:rPr>
          <w:lang w:val="en-US"/>
        </w:rPr>
        <w:t>6/57</w:t>
      </w:r>
      <w:r w:rsidR="00A42948">
        <w:rPr>
          <w:lang w:val="en-US"/>
        </w:rPr>
        <w:t>)</w:t>
      </w:r>
      <w:r w:rsidR="004F24EA">
        <w:rPr>
          <w:lang w:val="en-US"/>
        </w:rPr>
        <w:t>,</w:t>
      </w:r>
      <w:r w:rsidR="00BC4AAE">
        <w:rPr>
          <w:lang w:val="en-US"/>
        </w:rPr>
        <w:t xml:space="preserve"> </w:t>
      </w:r>
      <w:r w:rsidR="0051496E">
        <w:rPr>
          <w:lang w:val="en-US"/>
        </w:rPr>
        <w:t xml:space="preserve">and, likewise, declining the invitation of the emperor </w:t>
      </w:r>
      <w:r w:rsidR="009053FA">
        <w:rPr>
          <w:lang w:val="en-US"/>
        </w:rPr>
        <w:t xml:space="preserve">by a provocative answer </w:t>
      </w:r>
      <w:r w:rsidR="00D765C2">
        <w:rPr>
          <w:lang w:val="en-US"/>
        </w:rPr>
        <w:t xml:space="preserve">was a political </w:t>
      </w:r>
      <w:r w:rsidR="009053FA">
        <w:rPr>
          <w:lang w:val="en-US"/>
        </w:rPr>
        <w:t>statement</w:t>
      </w:r>
      <w:r w:rsidR="00D765C2">
        <w:rPr>
          <w:lang w:val="en-US"/>
        </w:rPr>
        <w:t xml:space="preserve"> and was interpreted as</w:t>
      </w:r>
      <w:r w:rsidR="009053FA">
        <w:rPr>
          <w:lang w:val="en-US"/>
        </w:rPr>
        <w:t xml:space="preserve"> disobedience</w:t>
      </w:r>
      <w:r w:rsidR="00D765C2">
        <w:rPr>
          <w:lang w:val="en-US"/>
        </w:rPr>
        <w:t xml:space="preserve">. </w:t>
      </w:r>
    </w:p>
    <w:p w:rsidR="004F24EA" w:rsidRDefault="004F24EA" w:rsidP="00544214">
      <w:pPr>
        <w:autoSpaceDE w:val="0"/>
        <w:autoSpaceDN w:val="0"/>
        <w:adjustRightInd w:val="0"/>
        <w:jc w:val="both"/>
        <w:rPr>
          <w:lang w:val="en-US"/>
        </w:rPr>
      </w:pPr>
    </w:p>
    <w:p w:rsidR="00A14984" w:rsidRDefault="006637C8" w:rsidP="004A37F7">
      <w:pPr>
        <w:jc w:val="both"/>
        <w:rPr>
          <w:lang w:val="en-US"/>
        </w:rPr>
      </w:pPr>
      <w:r>
        <w:rPr>
          <w:lang w:val="en-US"/>
        </w:rPr>
        <w:t xml:space="preserve">In this paper the establishment of Qing rule over the Mongols </w:t>
      </w:r>
      <w:r w:rsidR="009C6A2D">
        <w:rPr>
          <w:lang w:val="en-US"/>
        </w:rPr>
        <w:t xml:space="preserve">has been explained with the model of political patronage. </w:t>
      </w:r>
      <w:r w:rsidR="0080474C">
        <w:rPr>
          <w:lang w:val="en-US"/>
        </w:rPr>
        <w:t>In the 18</w:t>
      </w:r>
      <w:r w:rsidR="0080474C" w:rsidRPr="001F7060">
        <w:rPr>
          <w:vertAlign w:val="superscript"/>
          <w:lang w:val="en-US"/>
        </w:rPr>
        <w:t>th</w:t>
      </w:r>
      <w:r w:rsidR="0080474C">
        <w:rPr>
          <w:lang w:val="en-US"/>
        </w:rPr>
        <w:t xml:space="preserve"> and 19</w:t>
      </w:r>
      <w:r w:rsidR="0080474C" w:rsidRPr="001F7060">
        <w:rPr>
          <w:vertAlign w:val="superscript"/>
          <w:lang w:val="en-US"/>
        </w:rPr>
        <w:t>th</w:t>
      </w:r>
      <w:r w:rsidR="0080474C">
        <w:rPr>
          <w:lang w:val="en-US"/>
        </w:rPr>
        <w:t xml:space="preserve"> centuries, </w:t>
      </w:r>
      <w:r w:rsidR="009C3513">
        <w:rPr>
          <w:lang w:val="en-US"/>
        </w:rPr>
        <w:t xml:space="preserve">the limitations of this </w:t>
      </w:r>
      <w:r w:rsidR="00657731">
        <w:rPr>
          <w:lang w:val="en-US"/>
        </w:rPr>
        <w:t xml:space="preserve">practice </w:t>
      </w:r>
      <w:r w:rsidR="009C3513">
        <w:rPr>
          <w:lang w:val="en-US"/>
        </w:rPr>
        <w:t xml:space="preserve">as </w:t>
      </w:r>
      <w:r w:rsidR="00F05355">
        <w:rPr>
          <w:lang w:val="en-US"/>
        </w:rPr>
        <w:t>to</w:t>
      </w:r>
      <w:r w:rsidR="009C3513">
        <w:rPr>
          <w:lang w:val="en-US"/>
        </w:rPr>
        <w:t xml:space="preserve"> efficiency became apparent</w:t>
      </w:r>
      <w:r w:rsidR="00BF2D22">
        <w:rPr>
          <w:lang w:val="en-US"/>
        </w:rPr>
        <w:t xml:space="preserve"> to the Qing court. On top of </w:t>
      </w:r>
      <w:r w:rsidR="00437F79">
        <w:rPr>
          <w:lang w:val="en-US"/>
        </w:rPr>
        <w:t>the structures developed in the 17</w:t>
      </w:r>
      <w:r w:rsidR="00437F79" w:rsidRPr="00437F79">
        <w:rPr>
          <w:vertAlign w:val="superscript"/>
          <w:lang w:val="en-US"/>
        </w:rPr>
        <w:t>th</w:t>
      </w:r>
      <w:r w:rsidR="00437F79">
        <w:rPr>
          <w:lang w:val="en-US"/>
        </w:rPr>
        <w:t xml:space="preserve"> century</w:t>
      </w:r>
      <w:r w:rsidR="00826ED9">
        <w:rPr>
          <w:lang w:val="en-US"/>
        </w:rPr>
        <w:t>,</w:t>
      </w:r>
      <w:r w:rsidR="00437F79">
        <w:rPr>
          <w:lang w:val="en-US"/>
        </w:rPr>
        <w:t xml:space="preserve"> the Qing </w:t>
      </w:r>
      <w:r w:rsidR="0039553D">
        <w:rPr>
          <w:lang w:val="en-US"/>
        </w:rPr>
        <w:t xml:space="preserve">at various places in the Mongol territories </w:t>
      </w:r>
      <w:r w:rsidR="00437F79">
        <w:rPr>
          <w:lang w:val="en-US"/>
        </w:rPr>
        <w:t xml:space="preserve">placed imperial </w:t>
      </w:r>
      <w:r w:rsidR="0080474C">
        <w:rPr>
          <w:lang w:val="en-US"/>
        </w:rPr>
        <w:t>representatives</w:t>
      </w:r>
      <w:r w:rsidR="00DE0065">
        <w:rPr>
          <w:lang w:val="en-US"/>
        </w:rPr>
        <w:t>, who were in direct contact with the court.</w:t>
      </w:r>
      <w:r w:rsidR="0036392F">
        <w:rPr>
          <w:rStyle w:val="Endnotenzeichen"/>
          <w:lang w:val="en-US"/>
        </w:rPr>
        <w:endnoteReference w:id="31"/>
      </w:r>
      <w:r w:rsidR="0080474C" w:rsidRPr="00533990">
        <w:rPr>
          <w:lang w:val="en-US"/>
        </w:rPr>
        <w:t xml:space="preserve"> </w:t>
      </w:r>
      <w:r w:rsidR="00E62A3A">
        <w:rPr>
          <w:lang w:val="en-US"/>
        </w:rPr>
        <w:t>Regardless of the fact that</w:t>
      </w:r>
      <w:r w:rsidR="001366D1">
        <w:rPr>
          <w:lang w:val="en-US"/>
        </w:rPr>
        <w:t xml:space="preserve"> patronage </w:t>
      </w:r>
      <w:r w:rsidR="00657731">
        <w:rPr>
          <w:lang w:val="en-US"/>
        </w:rPr>
        <w:t>relationships</w:t>
      </w:r>
      <w:r w:rsidR="001366D1">
        <w:rPr>
          <w:lang w:val="en-US"/>
        </w:rPr>
        <w:t xml:space="preserve"> no longer provided the channels for information and implementation of imperial policies, t</w:t>
      </w:r>
      <w:r w:rsidR="00911012">
        <w:rPr>
          <w:lang w:val="en-US"/>
        </w:rPr>
        <w:t>he</w:t>
      </w:r>
      <w:r w:rsidR="00657731">
        <w:rPr>
          <w:lang w:val="en-US"/>
        </w:rPr>
        <w:t>ir</w:t>
      </w:r>
      <w:r w:rsidR="00911012">
        <w:rPr>
          <w:lang w:val="en-US"/>
        </w:rPr>
        <w:t xml:space="preserve"> symbolic </w:t>
      </w:r>
      <w:r w:rsidR="00657731">
        <w:rPr>
          <w:lang w:val="en-US"/>
        </w:rPr>
        <w:t xml:space="preserve">representation </w:t>
      </w:r>
      <w:r w:rsidR="00911012">
        <w:rPr>
          <w:lang w:val="en-US"/>
        </w:rPr>
        <w:t>w</w:t>
      </w:r>
      <w:r w:rsidR="00657731">
        <w:rPr>
          <w:lang w:val="en-US"/>
        </w:rPr>
        <w:t>as</w:t>
      </w:r>
      <w:r w:rsidR="00911012">
        <w:rPr>
          <w:lang w:val="en-US"/>
        </w:rPr>
        <w:t xml:space="preserve"> retained</w:t>
      </w:r>
      <w:r w:rsidR="001366D1">
        <w:rPr>
          <w:lang w:val="en-US"/>
        </w:rPr>
        <w:t xml:space="preserve"> until the end of the dynasty</w:t>
      </w:r>
      <w:r w:rsidR="00480995">
        <w:rPr>
          <w:lang w:val="en-US"/>
        </w:rPr>
        <w:t xml:space="preserve"> and</w:t>
      </w:r>
      <w:r w:rsidR="00B81F1D">
        <w:rPr>
          <w:lang w:val="en-US"/>
        </w:rPr>
        <w:t xml:space="preserve">, as </w:t>
      </w:r>
      <w:proofErr w:type="spellStart"/>
      <w:r w:rsidR="00826ED9">
        <w:rPr>
          <w:lang w:val="en-US"/>
        </w:rPr>
        <w:t>Uradyn</w:t>
      </w:r>
      <w:proofErr w:type="spellEnd"/>
      <w:r w:rsidR="00826ED9">
        <w:rPr>
          <w:lang w:val="en-US"/>
        </w:rPr>
        <w:t xml:space="preserve"> </w:t>
      </w:r>
      <w:proofErr w:type="spellStart"/>
      <w:r w:rsidR="00B81F1D">
        <w:rPr>
          <w:lang w:val="en-US"/>
        </w:rPr>
        <w:t>Bulag</w:t>
      </w:r>
      <w:proofErr w:type="spellEnd"/>
      <w:r w:rsidR="00B81F1D">
        <w:rPr>
          <w:lang w:val="en-US"/>
        </w:rPr>
        <w:t xml:space="preserve"> has shown, this heritage was turned to even after the fall of the Qing</w:t>
      </w:r>
      <w:r w:rsidR="00E007DD">
        <w:rPr>
          <w:lang w:val="en-US"/>
        </w:rPr>
        <w:t xml:space="preserve"> and</w:t>
      </w:r>
      <w:r w:rsidR="00E007DD" w:rsidRPr="00E007DD">
        <w:rPr>
          <w:lang w:val="en-US"/>
        </w:rPr>
        <w:t xml:space="preserve"> serve</w:t>
      </w:r>
      <w:r w:rsidR="00E007DD">
        <w:rPr>
          <w:lang w:val="en-US"/>
        </w:rPr>
        <w:t>d</w:t>
      </w:r>
      <w:r w:rsidR="00E007DD" w:rsidRPr="00E007DD">
        <w:rPr>
          <w:lang w:val="en-US"/>
        </w:rPr>
        <w:t xml:space="preserve"> as a model for the political interaction with Inner Asian leaders</w:t>
      </w:r>
      <w:r w:rsidR="0036392F">
        <w:rPr>
          <w:lang w:val="en-US"/>
        </w:rPr>
        <w:t xml:space="preserve"> (</w:t>
      </w:r>
      <w:proofErr w:type="spellStart"/>
      <w:r w:rsidR="0036392F" w:rsidRPr="0036392F">
        <w:rPr>
          <w:lang w:val="en-US"/>
        </w:rPr>
        <w:t>Bulag</w:t>
      </w:r>
      <w:proofErr w:type="spellEnd"/>
      <w:r w:rsidR="0036392F">
        <w:rPr>
          <w:lang w:val="en-US"/>
        </w:rPr>
        <w:t xml:space="preserve"> 2010:</w:t>
      </w:r>
      <w:r w:rsidR="0036392F" w:rsidRPr="0036392F">
        <w:rPr>
          <w:lang w:val="en-US"/>
        </w:rPr>
        <w:t>71</w:t>
      </w:r>
      <w:r w:rsidR="0036392F">
        <w:rPr>
          <w:lang w:val="en-US"/>
        </w:rPr>
        <w:t>)</w:t>
      </w:r>
      <w:r w:rsidR="00B81F1D">
        <w:rPr>
          <w:lang w:val="en-US"/>
        </w:rPr>
        <w:t>.</w:t>
      </w:r>
      <w:r w:rsidR="00480995">
        <w:rPr>
          <w:lang w:val="en-US"/>
        </w:rPr>
        <w:t xml:space="preserve"> </w:t>
      </w:r>
      <w:r w:rsidR="008125C9">
        <w:rPr>
          <w:lang w:val="en-US"/>
        </w:rPr>
        <w:t xml:space="preserve">This can be seen in the larger context of </w:t>
      </w:r>
      <w:proofErr w:type="spellStart"/>
      <w:r w:rsidR="00C00571">
        <w:rPr>
          <w:lang w:val="en-US"/>
        </w:rPr>
        <w:t>ethnohistory</w:t>
      </w:r>
      <w:proofErr w:type="spellEnd"/>
      <w:r w:rsidR="00C00571">
        <w:rPr>
          <w:lang w:val="en-US"/>
        </w:rPr>
        <w:t xml:space="preserve"> </w:t>
      </w:r>
      <w:r w:rsidR="00E007DD">
        <w:rPr>
          <w:lang w:val="en-US"/>
        </w:rPr>
        <w:t xml:space="preserve">and </w:t>
      </w:r>
      <w:r w:rsidR="008125C9">
        <w:rPr>
          <w:lang w:val="en-US"/>
        </w:rPr>
        <w:t>supports the assumptio</w:t>
      </w:r>
      <w:r w:rsidR="00E007DD">
        <w:rPr>
          <w:lang w:val="en-US"/>
        </w:rPr>
        <w:t>n</w:t>
      </w:r>
      <w:r w:rsidR="008125C9">
        <w:rPr>
          <w:lang w:val="en-US"/>
        </w:rPr>
        <w:t xml:space="preserve"> </w:t>
      </w:r>
      <w:r w:rsidR="00E007DD">
        <w:rPr>
          <w:lang w:val="en-US"/>
        </w:rPr>
        <w:t xml:space="preserve">that images of </w:t>
      </w:r>
      <w:r w:rsidR="008125C9">
        <w:rPr>
          <w:lang w:val="en-US"/>
        </w:rPr>
        <w:t xml:space="preserve">past </w:t>
      </w:r>
      <w:r w:rsidR="00E007DD" w:rsidRPr="00E007DD">
        <w:rPr>
          <w:lang w:val="en-US"/>
        </w:rPr>
        <w:t xml:space="preserve">inter-ethnic </w:t>
      </w:r>
      <w:r w:rsidR="00E007DD" w:rsidRPr="00E007DD">
        <w:rPr>
          <w:lang w:val="en-US"/>
        </w:rPr>
        <w:lastRenderedPageBreak/>
        <w:t>cooperation</w:t>
      </w:r>
      <w:r w:rsidR="00E007DD">
        <w:rPr>
          <w:lang w:val="en-US"/>
        </w:rPr>
        <w:t xml:space="preserve"> </w:t>
      </w:r>
      <w:r w:rsidR="008E3E74">
        <w:rPr>
          <w:lang w:val="en-US"/>
        </w:rPr>
        <w:t>ar</w:t>
      </w:r>
      <w:r w:rsidR="008125C9">
        <w:rPr>
          <w:lang w:val="en-US"/>
        </w:rPr>
        <w:t xml:space="preserve">e used </w:t>
      </w:r>
      <w:r w:rsidR="00E007DD">
        <w:rPr>
          <w:lang w:val="en-US"/>
        </w:rPr>
        <w:t xml:space="preserve">by multi-ethnic states </w:t>
      </w:r>
      <w:r w:rsidR="008125C9">
        <w:rPr>
          <w:lang w:val="en-US"/>
        </w:rPr>
        <w:t xml:space="preserve">as a </w:t>
      </w:r>
      <w:r w:rsidR="00E62A3A">
        <w:rPr>
          <w:lang w:val="en-US"/>
        </w:rPr>
        <w:t>resource for social cohesion</w:t>
      </w:r>
      <w:r w:rsidR="0036392F">
        <w:rPr>
          <w:lang w:val="en-US"/>
        </w:rPr>
        <w:t xml:space="preserve"> (</w:t>
      </w:r>
      <w:proofErr w:type="spellStart"/>
      <w:r w:rsidR="0036392F" w:rsidRPr="0036392F">
        <w:rPr>
          <w:lang w:val="en-US"/>
        </w:rPr>
        <w:t>Schorkowitz</w:t>
      </w:r>
      <w:proofErr w:type="spellEnd"/>
      <w:r w:rsidR="0036392F">
        <w:rPr>
          <w:lang w:val="en-US"/>
        </w:rPr>
        <w:t xml:space="preserve"> 2012:</w:t>
      </w:r>
      <w:r w:rsidR="0036392F" w:rsidRPr="0036392F">
        <w:rPr>
          <w:lang w:val="en-US"/>
        </w:rPr>
        <w:t xml:space="preserve"> 45</w:t>
      </w:r>
      <w:r w:rsidR="0036392F">
        <w:rPr>
          <w:lang w:val="en-US"/>
        </w:rPr>
        <w:t>)</w:t>
      </w:r>
      <w:r w:rsidR="0036392F" w:rsidRPr="0036392F">
        <w:rPr>
          <w:lang w:val="en-US"/>
        </w:rPr>
        <w:t>.</w:t>
      </w:r>
    </w:p>
    <w:p w:rsidR="0036392F" w:rsidRDefault="0036392F">
      <w:pPr>
        <w:rPr>
          <w:b/>
          <w:lang w:val="en-US"/>
        </w:rPr>
      </w:pPr>
    </w:p>
    <w:p w:rsidR="004F6E54" w:rsidRDefault="0070044B">
      <w:pPr>
        <w:rPr>
          <w:b/>
          <w:lang w:val="en-US"/>
        </w:rPr>
      </w:pPr>
      <w:r>
        <w:rPr>
          <w:b/>
          <w:lang w:val="en-US"/>
        </w:rPr>
        <w:t>Acknowledgements</w:t>
      </w:r>
    </w:p>
    <w:p w:rsidR="0070044B" w:rsidRPr="0070044B" w:rsidRDefault="0070044B">
      <w:pPr>
        <w:rPr>
          <w:bCs/>
          <w:lang w:val="en-US"/>
        </w:rPr>
      </w:pPr>
      <w:r>
        <w:rPr>
          <w:lang w:val="en-US"/>
        </w:rPr>
        <w:t xml:space="preserve">This work was supported by </w:t>
      </w:r>
      <w:r w:rsidRPr="009C4005">
        <w:rPr>
          <w:lang w:val="en-US"/>
        </w:rPr>
        <w:t>the Max Planck Institute for Social Anthropology in Halle/Saale (Germany)</w:t>
      </w:r>
      <w:r>
        <w:rPr>
          <w:lang w:val="en-US"/>
        </w:rPr>
        <w:t xml:space="preserve"> and</w:t>
      </w:r>
      <w:r w:rsidRPr="00643FD5">
        <w:rPr>
          <w:lang w:val="en-US"/>
        </w:rPr>
        <w:t xml:space="preserve"> is part of the project „Dealing with Nationalities in Eurasia. How Russian and Chinese Agenc</w:t>
      </w:r>
      <w:r>
        <w:rPr>
          <w:lang w:val="en-US"/>
        </w:rPr>
        <w:t>ies Managed Ethnic Diversity“</w:t>
      </w:r>
      <w:r w:rsidRPr="00643FD5">
        <w:rPr>
          <w:lang w:val="en-US"/>
        </w:rPr>
        <w:t>.</w:t>
      </w:r>
    </w:p>
    <w:p w:rsidR="00476EEA" w:rsidRDefault="00476EEA">
      <w:pPr>
        <w:rPr>
          <w:b/>
          <w:lang w:val="en-US"/>
        </w:rPr>
      </w:pPr>
    </w:p>
    <w:p w:rsidR="00A14984" w:rsidRPr="00A14984" w:rsidRDefault="00476EEA" w:rsidP="00A14984">
      <w:pPr>
        <w:rPr>
          <w:b/>
          <w:lang w:val="en-US"/>
        </w:rPr>
      </w:pPr>
      <w:r>
        <w:rPr>
          <w:b/>
          <w:lang w:val="en-US"/>
        </w:rPr>
        <w:t>References</w:t>
      </w:r>
    </w:p>
    <w:p w:rsidR="00A14984" w:rsidRPr="00A14984" w:rsidRDefault="00A14984" w:rsidP="00A14984">
      <w:pPr>
        <w:pStyle w:val="Literatur"/>
        <w:rPr>
          <w:lang w:val="en-US"/>
        </w:rPr>
      </w:pPr>
      <w:r w:rsidRPr="00A14984">
        <w:rPr>
          <w:i/>
          <w:iCs/>
          <w:lang w:val="en-US"/>
        </w:rPr>
        <w:t>Arban dolodu</w:t>
      </w:r>
      <w:r w:rsidRPr="00BA15A2">
        <w:rPr>
          <w:i/>
          <w:iCs/>
        </w:rPr>
        <w:t>γ</w:t>
      </w:r>
      <w:r w:rsidRPr="00A14984">
        <w:rPr>
          <w:i/>
          <w:iCs/>
          <w:lang w:val="en-US"/>
        </w:rPr>
        <w:t xml:space="preserve">ar </w:t>
      </w:r>
      <w:r w:rsidRPr="00A14984">
        <w:rPr>
          <w:rFonts w:ascii="Cambria Math" w:hAnsi="Cambria Math" w:cs="Cambria Math"/>
          <w:i/>
          <w:lang w:val="en-US"/>
        </w:rPr>
        <w:t>j</w:t>
      </w:r>
      <w:r w:rsidRPr="00A14984">
        <w:rPr>
          <w:i/>
          <w:iCs/>
          <w:lang w:val="en-US"/>
        </w:rPr>
        <w:t>a</w:t>
      </w:r>
      <w:r w:rsidRPr="00BA15A2">
        <w:rPr>
          <w:i/>
          <w:iCs/>
        </w:rPr>
        <w:t>γ</w:t>
      </w:r>
      <w:r w:rsidRPr="00A14984">
        <w:rPr>
          <w:i/>
          <w:iCs/>
          <w:lang w:val="en-US"/>
        </w:rPr>
        <w:t>un-u emün-e qa</w:t>
      </w:r>
      <w:r w:rsidRPr="00BA15A2">
        <w:rPr>
          <w:i/>
          <w:iCs/>
        </w:rPr>
        <w:t>γ</w:t>
      </w:r>
      <w:r w:rsidRPr="00A14984">
        <w:rPr>
          <w:i/>
          <w:iCs/>
          <w:lang w:val="en-US"/>
        </w:rPr>
        <w:t>as-tu qolbo</w:t>
      </w:r>
      <w:r w:rsidRPr="00BA15A2">
        <w:rPr>
          <w:i/>
          <w:iCs/>
        </w:rPr>
        <w:t>γ</w:t>
      </w:r>
      <w:r w:rsidRPr="00A14984">
        <w:rPr>
          <w:i/>
          <w:iCs/>
          <w:lang w:val="en-US"/>
        </w:rPr>
        <w:t>daqu mong</w:t>
      </w:r>
      <w:r w:rsidRPr="00BA15A2">
        <w:rPr>
          <w:i/>
          <w:iCs/>
        </w:rPr>
        <w:t>γ</w:t>
      </w:r>
      <w:r w:rsidRPr="00A14984">
        <w:rPr>
          <w:i/>
          <w:iCs/>
          <w:lang w:val="en-US"/>
        </w:rPr>
        <w:t>ol üsüg-ün bičig debter / Shiqi shiji Menggu wen wenshu dang’an</w:t>
      </w:r>
      <w:r w:rsidRPr="00A14984">
        <w:rPr>
          <w:lang w:val="en-US"/>
        </w:rPr>
        <w:t xml:space="preserve"> </w:t>
      </w:r>
      <w:r>
        <w:rPr>
          <w:rFonts w:eastAsiaTheme="minorEastAsia" w:hint="eastAsia"/>
          <w:lang w:eastAsia="zh-CN"/>
        </w:rPr>
        <w:t>十七世纪蒙古文文书档案</w:t>
      </w:r>
      <w:r w:rsidR="00AA365B" w:rsidRPr="00AA365B">
        <w:rPr>
          <w:rFonts w:eastAsiaTheme="minorEastAsia"/>
          <w:lang w:val="en-US" w:eastAsia="zh-CN"/>
        </w:rPr>
        <w:t xml:space="preserve"> (1997</w:t>
      </w:r>
      <w:r w:rsidR="00AA365B">
        <w:rPr>
          <w:rFonts w:eastAsiaTheme="minorEastAsia"/>
          <w:lang w:val="en-US" w:eastAsia="zh-CN"/>
        </w:rPr>
        <w:t>)</w:t>
      </w:r>
      <w:r w:rsidRPr="00A14984">
        <w:rPr>
          <w:lang w:val="en-US"/>
        </w:rPr>
        <w:t>, edited by Li Baowen, Tongliao: Nei Menggu shaonian ertong chubanshe.</w:t>
      </w:r>
    </w:p>
    <w:p w:rsidR="00A14984" w:rsidRPr="00A14984" w:rsidRDefault="00A14984" w:rsidP="00A14984">
      <w:pPr>
        <w:rPr>
          <w:lang w:val="en-US"/>
        </w:rPr>
      </w:pPr>
    </w:p>
    <w:p w:rsidR="00E108B4" w:rsidRPr="00E108B4" w:rsidRDefault="00E108B4" w:rsidP="00E108B4">
      <w:pPr>
        <w:pStyle w:val="Literatur"/>
        <w:rPr>
          <w:rFonts w:cs="Arial"/>
        </w:rPr>
      </w:pPr>
      <w:r w:rsidRPr="00E108B4">
        <w:rPr>
          <w:rFonts w:cs="Arial"/>
        </w:rPr>
        <w:t>Asch, Ronald G., Birgit Emich, Jens Ivo Engels</w:t>
      </w:r>
      <w:r w:rsidR="00AA365B">
        <w:rPr>
          <w:rFonts w:cs="Arial"/>
        </w:rPr>
        <w:t xml:space="preserve"> (</w:t>
      </w:r>
      <w:r w:rsidR="00AA365B" w:rsidRPr="00AA365B">
        <w:rPr>
          <w:rFonts w:cs="Arial"/>
        </w:rPr>
        <w:t>2011</w:t>
      </w:r>
      <w:r w:rsidR="00AA365B">
        <w:rPr>
          <w:rFonts w:cs="Arial"/>
        </w:rPr>
        <w:t>)</w:t>
      </w:r>
      <w:r w:rsidRPr="00E108B4">
        <w:rPr>
          <w:rFonts w:cs="Arial"/>
        </w:rPr>
        <w:t xml:space="preserve">: “Einleitung”, in: </w:t>
      </w:r>
      <w:r w:rsidRPr="00E108B4">
        <w:rPr>
          <w:rFonts w:cs="Arial"/>
          <w:i/>
        </w:rPr>
        <w:t>Integration, Legitimation, Korruption. Politische Patronage in Früher Neuzeit und Moderne</w:t>
      </w:r>
      <w:r w:rsidRPr="00E108B4">
        <w:rPr>
          <w:rFonts w:cs="Arial"/>
        </w:rPr>
        <w:t>, edited by Ronald G. Asch et al., Frankfurt am Main et al.: Peter Lang, 7-30.</w:t>
      </w:r>
    </w:p>
    <w:p w:rsidR="00E108B4" w:rsidRDefault="00E108B4" w:rsidP="00A14984">
      <w:pPr>
        <w:pStyle w:val="Literatur"/>
        <w:rPr>
          <w:rFonts w:cs="Arial"/>
        </w:rPr>
      </w:pPr>
    </w:p>
    <w:p w:rsidR="00A14984" w:rsidRPr="000B5BF6" w:rsidRDefault="00A14984" w:rsidP="00A14984">
      <w:pPr>
        <w:pStyle w:val="Literatur"/>
        <w:rPr>
          <w:lang w:val="en-US"/>
        </w:rPr>
      </w:pPr>
      <w:r w:rsidRPr="000B5BF6">
        <w:rPr>
          <w:rFonts w:cs="Arial"/>
          <w:lang w:val="en-US"/>
        </w:rPr>
        <w:t>Atwood, Christopher P.</w:t>
      </w:r>
      <w:r w:rsidR="00AA365B" w:rsidRPr="00AA365B">
        <w:rPr>
          <w:rFonts w:eastAsiaTheme="minorEastAsia" w:cs="Arial"/>
          <w:noProof w:val="0"/>
          <w:color w:val="auto"/>
          <w:lang w:val="en-US"/>
        </w:rPr>
        <w:t xml:space="preserve"> </w:t>
      </w:r>
      <w:r w:rsidR="00AA365B" w:rsidRPr="00AA365B">
        <w:rPr>
          <w:rFonts w:cs="Arial"/>
          <w:lang w:val="en-US"/>
        </w:rPr>
        <w:t>(2000)</w:t>
      </w:r>
      <w:r w:rsidRPr="000B5BF6">
        <w:rPr>
          <w:rFonts w:cs="Arial"/>
          <w:lang w:val="en-US"/>
        </w:rPr>
        <w:t xml:space="preserve">: “‘Worshipping Grace’: The Language of Loyalty in Qing Mongolia”, </w:t>
      </w:r>
      <w:r w:rsidRPr="000B5BF6">
        <w:rPr>
          <w:rFonts w:cs="Arial"/>
          <w:i/>
          <w:lang w:val="en-US"/>
        </w:rPr>
        <w:t>Late Imperial China</w:t>
      </w:r>
      <w:r w:rsidR="00C410F5">
        <w:rPr>
          <w:rFonts w:cs="Arial"/>
          <w:lang w:val="en-US"/>
        </w:rPr>
        <w:t xml:space="preserve"> 21:</w:t>
      </w:r>
      <w:r w:rsidRPr="000B5BF6">
        <w:rPr>
          <w:rFonts w:cs="Arial"/>
          <w:lang w:val="en-US"/>
        </w:rPr>
        <w:t>2, 86-139.</w:t>
      </w:r>
    </w:p>
    <w:p w:rsidR="00A14984" w:rsidRPr="000B5BF6" w:rsidRDefault="00A14984" w:rsidP="00A14984">
      <w:pPr>
        <w:pStyle w:val="Literatur"/>
        <w:rPr>
          <w:lang w:val="en-US"/>
        </w:rPr>
      </w:pPr>
    </w:p>
    <w:p w:rsidR="009A241C" w:rsidRPr="009A241C" w:rsidRDefault="009A241C" w:rsidP="009A241C">
      <w:pPr>
        <w:pStyle w:val="Literatur"/>
        <w:rPr>
          <w:lang w:val="en-US"/>
        </w:rPr>
      </w:pPr>
      <w:r w:rsidRPr="009A241C">
        <w:rPr>
          <w:lang w:val="en-US"/>
        </w:rPr>
        <w:t>Atwood, Christopher P.</w:t>
      </w:r>
      <w:r w:rsidR="00AA365B" w:rsidRPr="00AA365B">
        <w:rPr>
          <w:rFonts w:eastAsiaTheme="minorEastAsia" w:cs="Times New Roman"/>
          <w:noProof w:val="0"/>
          <w:color w:val="auto"/>
          <w:lang w:val="en-US"/>
        </w:rPr>
        <w:t xml:space="preserve"> </w:t>
      </w:r>
      <w:r w:rsidR="00AA365B">
        <w:rPr>
          <w:rFonts w:eastAsiaTheme="minorEastAsia" w:cs="Times New Roman"/>
          <w:noProof w:val="0"/>
          <w:color w:val="auto"/>
          <w:lang w:val="en-US"/>
        </w:rPr>
        <w:t>(</w:t>
      </w:r>
      <w:r w:rsidR="00AA365B" w:rsidRPr="00AA365B">
        <w:rPr>
          <w:lang w:val="en-US"/>
        </w:rPr>
        <w:t>2004</w:t>
      </w:r>
      <w:r w:rsidR="00AA365B">
        <w:rPr>
          <w:lang w:val="en-US"/>
        </w:rPr>
        <w:t>)</w:t>
      </w:r>
      <w:r w:rsidRPr="009A241C">
        <w:rPr>
          <w:lang w:val="en-US"/>
        </w:rPr>
        <w:t xml:space="preserve">: </w:t>
      </w:r>
      <w:r w:rsidRPr="009A241C">
        <w:rPr>
          <w:i/>
          <w:lang w:val="en-US"/>
        </w:rPr>
        <w:t>Encyclopedia of Mongolia and the Mongol Empire</w:t>
      </w:r>
      <w:r w:rsidRPr="009A241C">
        <w:rPr>
          <w:lang w:val="en-US"/>
        </w:rPr>
        <w:t>, New York: Facts On File</w:t>
      </w:r>
      <w:r>
        <w:rPr>
          <w:lang w:val="en-US"/>
        </w:rPr>
        <w:t>.</w:t>
      </w:r>
    </w:p>
    <w:p w:rsidR="009A241C" w:rsidRDefault="009A241C" w:rsidP="00A14984">
      <w:pPr>
        <w:pStyle w:val="Literatur"/>
        <w:rPr>
          <w:rFonts w:cs="Times New Roman"/>
          <w:lang w:val="en-US"/>
        </w:rPr>
      </w:pPr>
    </w:p>
    <w:p w:rsidR="004757A7" w:rsidRPr="00D8577A" w:rsidRDefault="004757A7" w:rsidP="00A14984">
      <w:pPr>
        <w:pStyle w:val="Literatur"/>
        <w:rPr>
          <w:rFonts w:cs="Times New Roman"/>
          <w:lang w:val="en-US"/>
        </w:rPr>
      </w:pPr>
      <w:r>
        <w:rPr>
          <w:rFonts w:cs="Times New Roman"/>
          <w:lang w:val="en-US"/>
        </w:rPr>
        <w:t xml:space="preserve">Bao, Dalizhabu </w:t>
      </w:r>
      <w:r>
        <w:rPr>
          <w:rFonts w:eastAsiaTheme="minorEastAsia" w:cs="Times New Roman" w:hint="eastAsia"/>
          <w:lang w:val="en-US" w:eastAsia="zh-CN"/>
        </w:rPr>
        <w:t>达力扎布</w:t>
      </w:r>
      <w:r w:rsidR="00AA365B">
        <w:rPr>
          <w:rFonts w:eastAsiaTheme="minorEastAsia" w:cs="Times New Roman"/>
          <w:lang w:val="en-US" w:eastAsia="zh-CN"/>
        </w:rPr>
        <w:t xml:space="preserve"> (</w:t>
      </w:r>
      <w:r w:rsidR="00AA365B" w:rsidRPr="00AA365B">
        <w:rPr>
          <w:rFonts w:eastAsiaTheme="minorEastAsia" w:cs="Times New Roman"/>
          <w:lang w:val="en-US" w:eastAsia="zh-CN"/>
        </w:rPr>
        <w:t>2006</w:t>
      </w:r>
      <w:r w:rsidR="00AA365B">
        <w:rPr>
          <w:rFonts w:eastAsiaTheme="minorEastAsia" w:cs="Times New Roman"/>
          <w:lang w:val="en-US" w:eastAsia="zh-CN"/>
        </w:rPr>
        <w:t>)</w:t>
      </w:r>
      <w:r>
        <w:rPr>
          <w:rFonts w:cs="Times New Roman"/>
          <w:lang w:val="en-US"/>
        </w:rPr>
        <w:t>: “Qing chu waifan Menggu chaogong zhidu chutan</w:t>
      </w:r>
      <w:r>
        <w:rPr>
          <w:rFonts w:asciiTheme="minorEastAsia" w:eastAsiaTheme="minorEastAsia" w:hAnsiTheme="minorEastAsia" w:cs="Times New Roman" w:hint="eastAsia"/>
          <w:lang w:val="en-US" w:eastAsia="zh-CN"/>
        </w:rPr>
        <w:t xml:space="preserve"> 清初外藩蒙古朝贡制度初探</w:t>
      </w:r>
      <w:r>
        <w:rPr>
          <w:rFonts w:cs="Times New Roman"/>
          <w:lang w:val="en-US"/>
        </w:rPr>
        <w:t xml:space="preserve">”, </w:t>
      </w:r>
      <w:r w:rsidR="005045F6" w:rsidRPr="00E709F0">
        <w:rPr>
          <w:rFonts w:cs="Times New Roman"/>
          <w:i/>
          <w:iCs/>
          <w:lang w:val="en-US"/>
        </w:rPr>
        <w:t>Meng Yuan shi</w:t>
      </w:r>
      <w:r w:rsidR="008716DA" w:rsidRPr="00E709F0">
        <w:rPr>
          <w:rFonts w:cs="Times New Roman"/>
          <w:i/>
          <w:iCs/>
          <w:lang w:val="en-US"/>
        </w:rPr>
        <w:t xml:space="preserve"> ji minzu shi lunji</w:t>
      </w:r>
      <w:r w:rsidR="00D8577A" w:rsidRPr="00E709F0">
        <w:rPr>
          <w:rFonts w:cs="Times New Roman"/>
          <w:i/>
          <w:iCs/>
          <w:lang w:val="en-US"/>
        </w:rPr>
        <w:t xml:space="preserve"> (Festschrift of the Mongol-Yuan Period</w:t>
      </w:r>
      <w:r w:rsidR="00B24C37" w:rsidRPr="00E709F0">
        <w:rPr>
          <w:rFonts w:cs="Times New Roman"/>
          <w:i/>
          <w:iCs/>
          <w:lang w:val="en-US"/>
        </w:rPr>
        <w:t xml:space="preserve"> and Ethnohistory)</w:t>
      </w:r>
      <w:r w:rsidR="00B24C37">
        <w:rPr>
          <w:rFonts w:cs="Times New Roman"/>
          <w:lang w:val="en-US"/>
        </w:rPr>
        <w:t xml:space="preserve">, edited by </w:t>
      </w:r>
      <w:r w:rsidR="00E709F0">
        <w:rPr>
          <w:rFonts w:cs="Times New Roman"/>
          <w:lang w:val="en-US"/>
        </w:rPr>
        <w:t xml:space="preserve">Shiyuan </w:t>
      </w:r>
      <w:r w:rsidR="00816D44">
        <w:rPr>
          <w:rFonts w:cs="Times New Roman"/>
          <w:lang w:val="en-US"/>
        </w:rPr>
        <w:t xml:space="preserve">Hao </w:t>
      </w:r>
      <w:r w:rsidR="00E709F0">
        <w:rPr>
          <w:rFonts w:cs="Times New Roman"/>
          <w:lang w:val="en-US"/>
        </w:rPr>
        <w:t>et al., Beijing: shehui kexue wenxian chubanshe, 410-422</w:t>
      </w:r>
      <w:r w:rsidR="00AA365B">
        <w:rPr>
          <w:rFonts w:cs="Times New Roman"/>
          <w:lang w:val="en-US"/>
        </w:rPr>
        <w:t>.</w:t>
      </w:r>
    </w:p>
    <w:p w:rsidR="004757A7" w:rsidRDefault="004757A7" w:rsidP="00A14984">
      <w:pPr>
        <w:pStyle w:val="Literatur"/>
        <w:rPr>
          <w:rFonts w:cs="Times New Roman"/>
          <w:lang w:val="en-US"/>
        </w:rPr>
      </w:pPr>
    </w:p>
    <w:p w:rsidR="00A14984" w:rsidRPr="000B5BF6" w:rsidRDefault="00A14984" w:rsidP="00A14984">
      <w:pPr>
        <w:pStyle w:val="Literatur"/>
        <w:rPr>
          <w:rFonts w:cs="Times New Roman"/>
          <w:lang w:val="en-US"/>
        </w:rPr>
      </w:pPr>
      <w:r w:rsidRPr="000B5BF6">
        <w:rPr>
          <w:rFonts w:cs="Times New Roman"/>
          <w:lang w:val="en-US"/>
        </w:rPr>
        <w:t>Bawden, Charles</w:t>
      </w:r>
      <w:r w:rsidR="00AA365B">
        <w:rPr>
          <w:rFonts w:cs="Times New Roman"/>
          <w:lang w:val="en-US"/>
        </w:rPr>
        <w:t xml:space="preserve"> (</w:t>
      </w:r>
      <w:r w:rsidR="00AA365B" w:rsidRPr="000B5BF6">
        <w:rPr>
          <w:rFonts w:cs="Times New Roman"/>
          <w:lang w:val="en-US"/>
        </w:rPr>
        <w:t>1968</w:t>
      </w:r>
      <w:r w:rsidR="00AA365B">
        <w:rPr>
          <w:rFonts w:cs="Times New Roman"/>
          <w:lang w:val="en-US"/>
        </w:rPr>
        <w:t>)</w:t>
      </w:r>
      <w:r w:rsidRPr="000B5BF6">
        <w:rPr>
          <w:rFonts w:cs="Times New Roman"/>
          <w:lang w:val="en-US"/>
        </w:rPr>
        <w:t xml:space="preserve">: </w:t>
      </w:r>
      <w:r w:rsidRPr="000B5BF6">
        <w:rPr>
          <w:rFonts w:cs="Times New Roman"/>
          <w:i/>
          <w:lang w:val="en-US"/>
        </w:rPr>
        <w:t>The Modern History of Mongolia</w:t>
      </w:r>
      <w:r w:rsidRPr="000B5BF6">
        <w:rPr>
          <w:rFonts w:cs="Times New Roman"/>
          <w:lang w:val="en-US"/>
        </w:rPr>
        <w:t>, London: Weidenfeld &amp; Nicolson.</w:t>
      </w:r>
    </w:p>
    <w:p w:rsidR="00A14984" w:rsidRPr="000B5BF6" w:rsidRDefault="00A14984" w:rsidP="00A14984">
      <w:pPr>
        <w:pStyle w:val="Literatur"/>
        <w:spacing w:line="276" w:lineRule="auto"/>
        <w:jc w:val="left"/>
        <w:rPr>
          <w:lang w:val="en-US"/>
        </w:rPr>
      </w:pPr>
    </w:p>
    <w:p w:rsidR="00F173A9" w:rsidRDefault="001F0D34" w:rsidP="00A14984">
      <w:pPr>
        <w:pStyle w:val="Literatur"/>
        <w:spacing w:line="276" w:lineRule="auto"/>
        <w:jc w:val="left"/>
        <w:rPr>
          <w:lang w:val="en-US"/>
        </w:rPr>
      </w:pPr>
      <w:r>
        <w:rPr>
          <w:lang w:val="en-US"/>
        </w:rPr>
        <w:t>Brunnert, H.</w:t>
      </w:r>
      <w:r w:rsidR="00F173A9">
        <w:rPr>
          <w:lang w:val="en-US"/>
        </w:rPr>
        <w:t>S. and V.V. Hagelstrom</w:t>
      </w:r>
      <w:r w:rsidR="00AA365B">
        <w:rPr>
          <w:lang w:val="en-US"/>
        </w:rPr>
        <w:t xml:space="preserve"> (</w:t>
      </w:r>
      <w:r w:rsidR="00AA365B" w:rsidRPr="00AA365B">
        <w:rPr>
          <w:lang w:val="en-US"/>
        </w:rPr>
        <w:t>1911</w:t>
      </w:r>
      <w:r w:rsidR="00AA365B">
        <w:rPr>
          <w:lang w:val="en-US"/>
        </w:rPr>
        <w:t>)</w:t>
      </w:r>
      <w:r w:rsidR="00F173A9">
        <w:rPr>
          <w:lang w:val="en-US"/>
        </w:rPr>
        <w:t xml:space="preserve">: </w:t>
      </w:r>
      <w:r w:rsidR="00F173A9" w:rsidRPr="00964907">
        <w:rPr>
          <w:i/>
          <w:iCs/>
          <w:lang w:val="en-US"/>
        </w:rPr>
        <w:t>Present Day Political Organization of China</w:t>
      </w:r>
      <w:r w:rsidR="00F173A9">
        <w:rPr>
          <w:lang w:val="en-US"/>
        </w:rPr>
        <w:t xml:space="preserve">, </w:t>
      </w:r>
      <w:r w:rsidR="00964907">
        <w:rPr>
          <w:lang w:val="en-US"/>
        </w:rPr>
        <w:t xml:space="preserve">trans. A. Beltchenko and E.E. Moran, </w:t>
      </w:r>
      <w:r>
        <w:rPr>
          <w:lang w:val="en-US"/>
        </w:rPr>
        <w:t>Shanghai: Kelly and Walsh.</w:t>
      </w:r>
    </w:p>
    <w:p w:rsidR="00F173A9" w:rsidRDefault="00F173A9" w:rsidP="00A14984">
      <w:pPr>
        <w:pStyle w:val="Literatur"/>
        <w:spacing w:line="276" w:lineRule="auto"/>
        <w:jc w:val="left"/>
        <w:rPr>
          <w:lang w:val="en-US"/>
        </w:rPr>
      </w:pPr>
    </w:p>
    <w:p w:rsidR="00084375" w:rsidRPr="00BE19E8" w:rsidRDefault="00084375" w:rsidP="00A14984">
      <w:pPr>
        <w:pStyle w:val="Literatur"/>
        <w:spacing w:line="276" w:lineRule="auto"/>
        <w:jc w:val="left"/>
        <w:rPr>
          <w:color w:val="auto"/>
          <w:lang w:val="en-US"/>
        </w:rPr>
      </w:pPr>
      <w:r w:rsidRPr="00BE19E8">
        <w:rPr>
          <w:color w:val="auto"/>
          <w:lang w:val="en-US"/>
        </w:rPr>
        <w:t>Bulag, Uradyn E.</w:t>
      </w:r>
      <w:r w:rsidR="00AA365B" w:rsidRPr="00BE19E8">
        <w:rPr>
          <w:rFonts w:eastAsiaTheme="minorEastAsia" w:cs="Times New Roman"/>
          <w:noProof w:val="0"/>
          <w:color w:val="auto"/>
          <w:lang w:val="en-US"/>
        </w:rPr>
        <w:t xml:space="preserve"> (</w:t>
      </w:r>
      <w:r w:rsidR="00AA365B" w:rsidRPr="00BE19E8">
        <w:rPr>
          <w:color w:val="auto"/>
          <w:lang w:val="en-US"/>
        </w:rPr>
        <w:t>2010)</w:t>
      </w:r>
      <w:r w:rsidRPr="00BE19E8">
        <w:rPr>
          <w:color w:val="auto"/>
          <w:lang w:val="en-US"/>
        </w:rPr>
        <w:t xml:space="preserve">: </w:t>
      </w:r>
      <w:r w:rsidRPr="00BE19E8">
        <w:rPr>
          <w:i/>
          <w:iCs/>
          <w:color w:val="auto"/>
          <w:lang w:val="en-US"/>
        </w:rPr>
        <w:t>Collaborative Nationalism. The Politics of Friendship on China’s Mongolian Frontier</w:t>
      </w:r>
      <w:r w:rsidRPr="00BE19E8">
        <w:rPr>
          <w:color w:val="auto"/>
          <w:lang w:val="en-US"/>
        </w:rPr>
        <w:t>, Lanham et al.:</w:t>
      </w:r>
      <w:r w:rsidR="00FA7F26" w:rsidRPr="00BE19E8">
        <w:rPr>
          <w:color w:val="auto"/>
          <w:lang w:val="en-US"/>
        </w:rPr>
        <w:t xml:space="preserve"> Rowman &amp; Littlefield</w:t>
      </w:r>
      <w:r w:rsidR="00367141" w:rsidRPr="00BE19E8">
        <w:rPr>
          <w:color w:val="auto"/>
          <w:lang w:val="en-US"/>
        </w:rPr>
        <w:t>.</w:t>
      </w:r>
    </w:p>
    <w:p w:rsidR="00084375" w:rsidRPr="00BE19E8" w:rsidRDefault="00084375" w:rsidP="00A14984">
      <w:pPr>
        <w:pStyle w:val="Literatur"/>
        <w:spacing w:line="276" w:lineRule="auto"/>
        <w:jc w:val="left"/>
        <w:rPr>
          <w:color w:val="auto"/>
          <w:lang w:val="en-US"/>
        </w:rPr>
      </w:pPr>
    </w:p>
    <w:p w:rsidR="00642275" w:rsidRPr="00BE19E8" w:rsidRDefault="00642275" w:rsidP="00A14984">
      <w:pPr>
        <w:pStyle w:val="Literatur"/>
        <w:spacing w:line="276" w:lineRule="auto"/>
        <w:jc w:val="left"/>
        <w:rPr>
          <w:color w:val="auto"/>
          <w:lang w:val="en-US"/>
        </w:rPr>
      </w:pPr>
      <w:r w:rsidRPr="00BE19E8">
        <w:rPr>
          <w:color w:val="auto"/>
          <w:lang w:val="en-US"/>
        </w:rPr>
        <w:t xml:space="preserve">Bulag, Uradyn E. (2012): “Independence as Restoration: Chinese and Mongolian Declarations of Independence and the 1911 Revolutions”, </w:t>
      </w:r>
      <w:r w:rsidRPr="00BE19E8">
        <w:rPr>
          <w:i/>
          <w:iCs/>
          <w:color w:val="auto"/>
          <w:lang w:val="en-US"/>
        </w:rPr>
        <w:t>The Asia-Pacific Journal</w:t>
      </w:r>
      <w:r w:rsidRPr="00BE19E8">
        <w:rPr>
          <w:color w:val="auto"/>
          <w:lang w:val="en-US"/>
        </w:rPr>
        <w:t xml:space="preserve"> 10:52(3).</w:t>
      </w:r>
    </w:p>
    <w:p w:rsidR="00642275" w:rsidRPr="00BE19E8" w:rsidRDefault="00642275" w:rsidP="00A14984">
      <w:pPr>
        <w:pStyle w:val="Literatur"/>
        <w:spacing w:line="276" w:lineRule="auto"/>
        <w:jc w:val="left"/>
        <w:rPr>
          <w:color w:val="auto"/>
          <w:lang w:val="en-US"/>
        </w:rPr>
      </w:pPr>
    </w:p>
    <w:p w:rsidR="00A14984" w:rsidRPr="00BE19E8" w:rsidRDefault="00A14984" w:rsidP="00A14984">
      <w:pPr>
        <w:pStyle w:val="Literatur"/>
        <w:spacing w:line="276" w:lineRule="auto"/>
        <w:jc w:val="left"/>
        <w:rPr>
          <w:rFonts w:cs="Times New Roman"/>
          <w:color w:val="auto"/>
          <w:lang w:val="en-US"/>
        </w:rPr>
      </w:pPr>
      <w:r w:rsidRPr="00BE19E8">
        <w:rPr>
          <w:color w:val="auto"/>
          <w:lang w:val="en-US"/>
        </w:rPr>
        <w:t>Burbank, Jane</w:t>
      </w:r>
      <w:r w:rsidR="00AA365B" w:rsidRPr="00BE19E8">
        <w:rPr>
          <w:color w:val="auto"/>
          <w:lang w:val="en-US"/>
        </w:rPr>
        <w:t xml:space="preserve"> (2007)</w:t>
      </w:r>
      <w:r w:rsidRPr="00BE19E8">
        <w:rPr>
          <w:color w:val="auto"/>
          <w:lang w:val="en-US"/>
        </w:rPr>
        <w:t xml:space="preserve">: “The Rights of Difference. Law and Citizenship in the Russian Empire”, in: </w:t>
      </w:r>
      <w:r w:rsidRPr="00BE19E8">
        <w:rPr>
          <w:i/>
          <w:color w:val="auto"/>
          <w:lang w:val="en-US"/>
        </w:rPr>
        <w:t>Imperial Formations,</w:t>
      </w:r>
      <w:r w:rsidR="00AB4CD3" w:rsidRPr="00BE19E8">
        <w:rPr>
          <w:color w:val="auto"/>
          <w:lang w:val="en-US"/>
        </w:rPr>
        <w:t xml:space="preserve"> edited by Ann Laura Stoler et al.</w:t>
      </w:r>
      <w:r w:rsidRPr="00BE19E8">
        <w:rPr>
          <w:color w:val="auto"/>
          <w:lang w:val="en-US"/>
        </w:rPr>
        <w:t>, Santa Fe, NM: School for Advanced Research Press,</w:t>
      </w:r>
      <w:r w:rsidRPr="00BE19E8">
        <w:rPr>
          <w:rFonts w:cs="Times New Roman"/>
          <w:color w:val="auto"/>
          <w:lang w:val="en-US"/>
        </w:rPr>
        <w:t xml:space="preserve"> 77-111.</w:t>
      </w:r>
    </w:p>
    <w:p w:rsidR="00A14984" w:rsidRPr="00BE19E8" w:rsidRDefault="00A14984" w:rsidP="00A14984">
      <w:pPr>
        <w:pStyle w:val="Literatur"/>
        <w:spacing w:line="276" w:lineRule="auto"/>
        <w:jc w:val="left"/>
        <w:rPr>
          <w:rFonts w:cs="Times New Roman"/>
          <w:color w:val="auto"/>
          <w:lang w:val="en-US"/>
        </w:rPr>
      </w:pPr>
    </w:p>
    <w:p w:rsidR="00816D44" w:rsidRPr="00BE19E8" w:rsidRDefault="00816D44" w:rsidP="00816D44">
      <w:pPr>
        <w:pStyle w:val="Literatur"/>
        <w:rPr>
          <w:color w:val="auto"/>
          <w:lang w:val="en-US"/>
        </w:rPr>
      </w:pPr>
      <w:r w:rsidRPr="00BE19E8">
        <w:rPr>
          <w:color w:val="auto"/>
          <w:lang w:val="en-US"/>
        </w:rPr>
        <w:t xml:space="preserve">Caillé, Alain (2010): “Gift”, in: </w:t>
      </w:r>
      <w:r w:rsidRPr="00BE19E8">
        <w:rPr>
          <w:i/>
          <w:iCs/>
          <w:color w:val="auto"/>
          <w:lang w:val="en-US"/>
        </w:rPr>
        <w:t>The Human Economy. A Citizen’s Guide</w:t>
      </w:r>
      <w:r w:rsidRPr="00BE19E8">
        <w:rPr>
          <w:color w:val="auto"/>
          <w:lang w:val="en-US"/>
        </w:rPr>
        <w:t>, edited by Keith Hart et al., Cambridge et al.: Polity 2010, 180-186.</w:t>
      </w:r>
    </w:p>
    <w:p w:rsidR="00816D44" w:rsidRPr="00BE19E8" w:rsidRDefault="00816D44" w:rsidP="00816D44">
      <w:pPr>
        <w:pStyle w:val="Literatur"/>
        <w:rPr>
          <w:color w:val="auto"/>
          <w:lang w:val="en-US"/>
        </w:rPr>
      </w:pPr>
    </w:p>
    <w:p w:rsidR="00A14984" w:rsidRPr="00592FDB" w:rsidRDefault="00A14984" w:rsidP="00A14984">
      <w:pPr>
        <w:pStyle w:val="Literatur"/>
        <w:spacing w:line="276" w:lineRule="auto"/>
        <w:jc w:val="left"/>
        <w:rPr>
          <w:rFonts w:cs="Times New Roman"/>
          <w:lang w:val="en-US"/>
        </w:rPr>
      </w:pPr>
      <w:r w:rsidRPr="00BE19E8">
        <w:rPr>
          <w:rFonts w:cs="Times New Roman"/>
          <w:color w:val="auto"/>
          <w:lang w:val="en-US"/>
        </w:rPr>
        <w:t>Carrier, James</w:t>
      </w:r>
      <w:r w:rsidR="00AA365B" w:rsidRPr="00BE19E8">
        <w:rPr>
          <w:rFonts w:cs="Times New Roman"/>
          <w:color w:val="auto"/>
          <w:lang w:val="en-US"/>
        </w:rPr>
        <w:t xml:space="preserve"> (1991)</w:t>
      </w:r>
      <w:r w:rsidRPr="00BE19E8">
        <w:rPr>
          <w:rFonts w:cs="Times New Roman"/>
          <w:color w:val="auto"/>
          <w:lang w:val="en-US"/>
        </w:rPr>
        <w:t>: “Gifts, Commodities, and Social Relations: A Maussian View of Exchange</w:t>
      </w:r>
      <w:r w:rsidRPr="00592FDB">
        <w:rPr>
          <w:rFonts w:cs="Times New Roman"/>
          <w:lang w:val="en-US"/>
        </w:rPr>
        <w:t xml:space="preserve">”, </w:t>
      </w:r>
      <w:r w:rsidRPr="00592FDB">
        <w:rPr>
          <w:rFonts w:cs="Times New Roman"/>
          <w:i/>
          <w:lang w:val="en-US"/>
        </w:rPr>
        <w:t>Sociological Forum</w:t>
      </w:r>
      <w:r w:rsidR="00C410F5">
        <w:rPr>
          <w:rFonts w:cs="Times New Roman"/>
          <w:lang w:val="en-US"/>
        </w:rPr>
        <w:t xml:space="preserve"> 6:</w:t>
      </w:r>
      <w:r w:rsidRPr="00592FDB">
        <w:rPr>
          <w:rFonts w:cs="Times New Roman"/>
          <w:lang w:val="en-US"/>
        </w:rPr>
        <w:t xml:space="preserve">1, 119-136. </w:t>
      </w:r>
    </w:p>
    <w:p w:rsidR="00A14984" w:rsidRPr="00592FDB" w:rsidRDefault="00A14984" w:rsidP="00A14984">
      <w:pPr>
        <w:pStyle w:val="Literatur"/>
        <w:spacing w:line="276" w:lineRule="auto"/>
        <w:jc w:val="left"/>
        <w:rPr>
          <w:rFonts w:cs="Times New Roman"/>
          <w:lang w:val="en-US"/>
        </w:rPr>
      </w:pPr>
    </w:p>
    <w:p w:rsidR="00AA365B" w:rsidRPr="000853A7" w:rsidRDefault="00AA365B" w:rsidP="00AA365B">
      <w:pPr>
        <w:pStyle w:val="Literatur"/>
        <w:spacing w:line="276" w:lineRule="auto"/>
        <w:jc w:val="left"/>
        <w:rPr>
          <w:lang w:val="en-US"/>
        </w:rPr>
      </w:pPr>
      <w:r w:rsidRPr="00AA365B">
        <w:rPr>
          <w:lang w:val="en-US"/>
        </w:rPr>
        <w:t>Chia, Ning</w:t>
      </w:r>
      <w:r>
        <w:rPr>
          <w:lang w:val="en-US"/>
        </w:rPr>
        <w:t xml:space="preserve"> </w:t>
      </w:r>
      <w:r w:rsidRPr="000853A7">
        <w:rPr>
          <w:lang w:val="en-US"/>
        </w:rPr>
        <w:t>(1993)</w:t>
      </w:r>
      <w:r w:rsidRPr="00AA365B">
        <w:rPr>
          <w:lang w:val="en-US"/>
        </w:rPr>
        <w:t xml:space="preserve">: “The Li-fan Yuan and the Inner Asian Rituals in the Early Qing (1644–1795)”, </w:t>
      </w:r>
      <w:r w:rsidRPr="000853A7">
        <w:rPr>
          <w:i/>
          <w:iCs/>
          <w:lang w:val="en-US"/>
        </w:rPr>
        <w:t xml:space="preserve">Late Imperial China </w:t>
      </w:r>
      <w:r w:rsidR="00C410F5" w:rsidRPr="000853A7">
        <w:rPr>
          <w:lang w:val="en-US"/>
        </w:rPr>
        <w:t>14:</w:t>
      </w:r>
      <w:r w:rsidRPr="000853A7">
        <w:rPr>
          <w:lang w:val="en-US"/>
        </w:rPr>
        <w:t>1, 60–92.</w:t>
      </w:r>
    </w:p>
    <w:p w:rsidR="00AA365B" w:rsidRPr="00AA365B" w:rsidRDefault="00AA365B" w:rsidP="00AA365B">
      <w:pPr>
        <w:pStyle w:val="Literatur"/>
        <w:spacing w:line="276" w:lineRule="auto"/>
        <w:jc w:val="left"/>
        <w:rPr>
          <w:lang w:val="en-US"/>
        </w:rPr>
      </w:pPr>
    </w:p>
    <w:p w:rsidR="00A14984" w:rsidRPr="00592FDB" w:rsidRDefault="00A14984" w:rsidP="00A14984">
      <w:pPr>
        <w:pStyle w:val="Literatur"/>
        <w:spacing w:line="276" w:lineRule="auto"/>
        <w:jc w:val="left"/>
        <w:rPr>
          <w:rFonts w:cs="Times New Roman"/>
          <w:lang w:val="en-US"/>
        </w:rPr>
      </w:pPr>
      <w:r w:rsidRPr="00592FDB">
        <w:rPr>
          <w:rFonts w:cs="Times New Roman"/>
          <w:lang w:val="en-US"/>
        </w:rPr>
        <w:t>Chia, Ning</w:t>
      </w:r>
      <w:r w:rsidR="00AA365B">
        <w:rPr>
          <w:rFonts w:cs="Times New Roman"/>
          <w:lang w:val="en-US"/>
        </w:rPr>
        <w:t xml:space="preserve"> (</w:t>
      </w:r>
      <w:r w:rsidR="00AA365B" w:rsidRPr="00AA365B">
        <w:rPr>
          <w:rFonts w:cs="Times New Roman"/>
          <w:lang w:val="en-US"/>
        </w:rPr>
        <w:t>2012</w:t>
      </w:r>
      <w:r w:rsidR="00AA365B">
        <w:rPr>
          <w:rFonts w:cs="Times New Roman"/>
          <w:lang w:val="en-US"/>
        </w:rPr>
        <w:t>)</w:t>
      </w:r>
      <w:r w:rsidRPr="00592FDB">
        <w:rPr>
          <w:rFonts w:cs="Times New Roman"/>
          <w:lang w:val="en-US"/>
        </w:rPr>
        <w:t xml:space="preserve">: “Lifanyuan and the Management of Population Diversity in Early Qing (1636-1795)”, </w:t>
      </w:r>
      <w:r w:rsidRPr="00592FDB">
        <w:rPr>
          <w:rFonts w:cs="Times New Roman"/>
          <w:i/>
          <w:iCs/>
          <w:lang w:val="en-US"/>
        </w:rPr>
        <w:t xml:space="preserve">Max Planck Institute for Social Anthropology Working Paper No. 139, </w:t>
      </w:r>
      <w:r w:rsidRPr="00592FDB">
        <w:rPr>
          <w:rFonts w:cs="Times New Roman"/>
          <w:lang w:val="en-US"/>
        </w:rPr>
        <w:t xml:space="preserve">Halle/Saale: Max Planck Institute for Social Anthropology. </w:t>
      </w:r>
    </w:p>
    <w:p w:rsidR="00A14984" w:rsidRPr="00592FDB" w:rsidRDefault="00A14984" w:rsidP="00A14984">
      <w:pPr>
        <w:pStyle w:val="Literatur"/>
        <w:rPr>
          <w:rFonts w:cs="Times New Roman"/>
          <w:lang w:val="en-US"/>
        </w:rPr>
      </w:pPr>
    </w:p>
    <w:p w:rsidR="00AA365B" w:rsidRPr="00AA365B" w:rsidRDefault="00AA365B" w:rsidP="00AA365B">
      <w:pPr>
        <w:pStyle w:val="Literatur"/>
        <w:rPr>
          <w:lang w:val="en-US"/>
        </w:rPr>
      </w:pPr>
      <w:r w:rsidRPr="00AA365B">
        <w:rPr>
          <w:lang w:val="en-US"/>
        </w:rPr>
        <w:t>Crossley, Pamela Kyle</w:t>
      </w:r>
      <w:r>
        <w:rPr>
          <w:lang w:val="en-US"/>
        </w:rPr>
        <w:t xml:space="preserve"> </w:t>
      </w:r>
      <w:r w:rsidRPr="00AA365B">
        <w:rPr>
          <w:lang w:val="en-US"/>
        </w:rPr>
        <w:t xml:space="preserve">(1987): “Manzhou yuanliu kao and the Formalization of the Manchu Heritage”, </w:t>
      </w:r>
      <w:r w:rsidRPr="00AA365B">
        <w:rPr>
          <w:i/>
          <w:lang w:val="en-US"/>
        </w:rPr>
        <w:t>The Journal of Asian Studies</w:t>
      </w:r>
      <w:r w:rsidR="00C410F5">
        <w:rPr>
          <w:lang w:val="en-US"/>
        </w:rPr>
        <w:t xml:space="preserve"> 46:</w:t>
      </w:r>
      <w:r w:rsidRPr="00AA365B">
        <w:rPr>
          <w:lang w:val="en-US"/>
        </w:rPr>
        <w:t>4, 761-790.</w:t>
      </w:r>
    </w:p>
    <w:p w:rsidR="00AA365B" w:rsidRPr="00AA365B" w:rsidRDefault="00AA365B" w:rsidP="00AA365B">
      <w:pPr>
        <w:pStyle w:val="Literatur"/>
        <w:rPr>
          <w:lang w:val="en-US"/>
        </w:rPr>
      </w:pPr>
    </w:p>
    <w:p w:rsidR="00730220" w:rsidRDefault="00730220" w:rsidP="00A14984">
      <w:pPr>
        <w:pStyle w:val="Literatur"/>
        <w:rPr>
          <w:lang w:val="en-US"/>
        </w:rPr>
      </w:pPr>
      <w:r w:rsidRPr="00DE2DF1">
        <w:rPr>
          <w:lang w:val="en-US"/>
        </w:rPr>
        <w:t>Crossley, Pamela Kyle</w:t>
      </w:r>
      <w:r w:rsidR="00F825FC">
        <w:rPr>
          <w:lang w:val="en-US"/>
        </w:rPr>
        <w:t xml:space="preserve"> (</w:t>
      </w:r>
      <w:r w:rsidR="00F825FC" w:rsidRPr="00F825FC">
        <w:rPr>
          <w:lang w:val="en-US"/>
        </w:rPr>
        <w:t>1999</w:t>
      </w:r>
      <w:r w:rsidR="00F825FC">
        <w:rPr>
          <w:lang w:val="en-US"/>
        </w:rPr>
        <w:t>)</w:t>
      </w:r>
      <w:r>
        <w:rPr>
          <w:lang w:val="en-US"/>
        </w:rPr>
        <w:t xml:space="preserve">: </w:t>
      </w:r>
      <w:r w:rsidR="00011A54" w:rsidRPr="00011A54">
        <w:rPr>
          <w:i/>
          <w:iCs/>
          <w:lang w:val="en-US"/>
        </w:rPr>
        <w:t>A Translucent Mirror. Hitory and Identity in Qing Imperial Ideology</w:t>
      </w:r>
      <w:r w:rsidR="00011A54">
        <w:rPr>
          <w:lang w:val="en-US"/>
        </w:rPr>
        <w:t xml:space="preserve">, </w:t>
      </w:r>
      <w:r w:rsidR="00011A54" w:rsidRPr="00DE2DF1">
        <w:rPr>
          <w:lang w:val="en-US"/>
        </w:rPr>
        <w:t>Berkeley, Los Angeles, London: University of California Press</w:t>
      </w:r>
      <w:r w:rsidR="00011A54">
        <w:rPr>
          <w:lang w:val="en-US"/>
        </w:rPr>
        <w:t>.</w:t>
      </w:r>
    </w:p>
    <w:p w:rsidR="00A14984" w:rsidRDefault="00A14984" w:rsidP="00A14984">
      <w:pPr>
        <w:pStyle w:val="Literatur"/>
        <w:rPr>
          <w:lang w:val="en-US"/>
        </w:rPr>
      </w:pPr>
    </w:p>
    <w:p w:rsidR="00A14984" w:rsidRPr="00F825FC" w:rsidRDefault="00A14984" w:rsidP="00A14984">
      <w:pPr>
        <w:pStyle w:val="Literatur"/>
        <w:rPr>
          <w:rFonts w:cs="Times New Roman"/>
          <w:iCs/>
          <w:lang w:val="en-US"/>
        </w:rPr>
      </w:pPr>
      <w:r w:rsidRPr="00454665">
        <w:rPr>
          <w:rFonts w:cs="Times New Roman"/>
          <w:i/>
          <w:lang w:val="en-US"/>
        </w:rPr>
        <w:t>Čing ulus-un üy-e-yin mongγol qosiγu čiγulγan</w:t>
      </w:r>
      <w:r w:rsidR="00F825FC">
        <w:rPr>
          <w:rFonts w:cs="Times New Roman"/>
          <w:i/>
          <w:lang w:val="en-US"/>
        </w:rPr>
        <w:t xml:space="preserve"> </w:t>
      </w:r>
      <w:r w:rsidR="00F825FC">
        <w:rPr>
          <w:rFonts w:cs="Times New Roman"/>
          <w:iCs/>
          <w:lang w:val="en-US"/>
        </w:rPr>
        <w:t>(</w:t>
      </w:r>
      <w:r w:rsidR="00F825FC" w:rsidRPr="00F825FC">
        <w:rPr>
          <w:rFonts w:cs="Times New Roman"/>
          <w:iCs/>
          <w:lang w:val="en-US"/>
        </w:rPr>
        <w:t>1984)</w:t>
      </w:r>
      <w:r w:rsidRPr="00F825FC">
        <w:rPr>
          <w:rFonts w:cs="Times New Roman"/>
          <w:iCs/>
          <w:lang w:val="en-US"/>
        </w:rPr>
        <w:t>,</w:t>
      </w:r>
      <w:r w:rsidR="00F825FC">
        <w:rPr>
          <w:rFonts w:cs="Times New Roman"/>
          <w:iCs/>
          <w:lang w:val="en-US"/>
        </w:rPr>
        <w:t xml:space="preserve"> </w:t>
      </w:r>
      <w:r w:rsidRPr="00F825FC">
        <w:rPr>
          <w:rFonts w:cs="Times New Roman"/>
          <w:iCs/>
          <w:lang w:val="en-US"/>
        </w:rPr>
        <w:t>e</w:t>
      </w:r>
      <w:r w:rsidR="00F825FC">
        <w:rPr>
          <w:rFonts w:cs="Times New Roman"/>
          <w:iCs/>
          <w:lang w:val="en-US"/>
        </w:rPr>
        <w:t>dited by Namsarai, Tongliao: Öbö</w:t>
      </w:r>
      <w:r w:rsidRPr="00F825FC">
        <w:rPr>
          <w:rFonts w:cs="Times New Roman"/>
          <w:iCs/>
          <w:lang w:val="en-US"/>
        </w:rPr>
        <w:t>r mongγol-un baγačud keüked-ün keblel-ün qoriy-a.</w:t>
      </w:r>
    </w:p>
    <w:p w:rsidR="00A14984" w:rsidRPr="00454665" w:rsidRDefault="00A14984" w:rsidP="00A14984">
      <w:pPr>
        <w:pStyle w:val="Literatur"/>
        <w:rPr>
          <w:rFonts w:cs="Times New Roman"/>
          <w:lang w:val="en-US"/>
        </w:rPr>
      </w:pPr>
    </w:p>
    <w:p w:rsidR="00F825FC" w:rsidRPr="00F825FC" w:rsidRDefault="00F825FC" w:rsidP="00F825FC">
      <w:pPr>
        <w:pStyle w:val="Literatur"/>
        <w:rPr>
          <w:lang w:val="en-US"/>
        </w:rPr>
      </w:pPr>
      <w:r w:rsidRPr="00F825FC">
        <w:rPr>
          <w:lang w:val="en-US"/>
        </w:rPr>
        <w:t>Di Cosmo, Nicola</w:t>
      </w:r>
      <w:r>
        <w:rPr>
          <w:lang w:val="en-US"/>
        </w:rPr>
        <w:t xml:space="preserve"> (</w:t>
      </w:r>
      <w:r w:rsidRPr="00F825FC">
        <w:rPr>
          <w:lang w:val="en-US"/>
        </w:rPr>
        <w:t>2003</w:t>
      </w:r>
      <w:r>
        <w:rPr>
          <w:lang w:val="en-US"/>
        </w:rPr>
        <w:t>)</w:t>
      </w:r>
      <w:r w:rsidRPr="00F825FC">
        <w:rPr>
          <w:lang w:val="en-US"/>
        </w:rPr>
        <w:t xml:space="preserve">: “Kirghiz Nomads on the Qing Frontier: Tribute, Trade, or Gift Exchange?”, in: </w:t>
      </w:r>
      <w:r w:rsidRPr="00F825FC">
        <w:rPr>
          <w:i/>
          <w:lang w:val="en-US"/>
        </w:rPr>
        <w:t>Political Frontiers, Ethnic Boundaries and Human Geographies in Chinese History</w:t>
      </w:r>
      <w:r w:rsidRPr="00F825FC">
        <w:rPr>
          <w:lang w:val="en-US"/>
        </w:rPr>
        <w:t>, edited by Nicola Di Cosmo et al., London: Routledge Curzon, 351-372.</w:t>
      </w:r>
    </w:p>
    <w:p w:rsidR="00F825FC" w:rsidRPr="00F825FC" w:rsidRDefault="00F825FC" w:rsidP="00F825FC">
      <w:pPr>
        <w:pStyle w:val="Literatur"/>
        <w:rPr>
          <w:lang w:val="en-US"/>
        </w:rPr>
      </w:pPr>
    </w:p>
    <w:p w:rsidR="00A14984" w:rsidRPr="00F5540E" w:rsidRDefault="00A14984" w:rsidP="00A14984">
      <w:pPr>
        <w:pStyle w:val="Literatur"/>
        <w:rPr>
          <w:lang w:val="en-US"/>
        </w:rPr>
      </w:pPr>
      <w:r>
        <w:rPr>
          <w:lang w:val="en-US"/>
        </w:rPr>
        <w:t>Di Cosmo, Nicola</w:t>
      </w:r>
      <w:r w:rsidR="00F825FC">
        <w:rPr>
          <w:lang w:val="en-US"/>
        </w:rPr>
        <w:t xml:space="preserve"> (</w:t>
      </w:r>
      <w:r w:rsidR="00F825FC" w:rsidRPr="00F825FC">
        <w:rPr>
          <w:lang w:val="en-US"/>
        </w:rPr>
        <w:t>2006</w:t>
      </w:r>
      <w:r w:rsidR="00F825FC">
        <w:rPr>
          <w:lang w:val="en-US"/>
        </w:rPr>
        <w:t>)</w:t>
      </w:r>
      <w:r>
        <w:rPr>
          <w:lang w:val="en-US"/>
        </w:rPr>
        <w:t xml:space="preserve">: </w:t>
      </w:r>
      <w:r w:rsidRPr="00F5540E">
        <w:rPr>
          <w:lang w:val="en-US"/>
        </w:rPr>
        <w:t xml:space="preserve">“Competing Strategies of Great Khan Legitimacy in the Context of the Chaqar-Manchu Wars (c. 1620–1634)”, in: </w:t>
      </w:r>
      <w:r w:rsidRPr="00F5540E">
        <w:rPr>
          <w:i/>
          <w:iCs/>
          <w:lang w:val="en-US"/>
        </w:rPr>
        <w:t>Imperial Statecraft: political forms and techniques of governance in Inner Asia, sixth – twentieth centuries</w:t>
      </w:r>
      <w:r w:rsidRPr="00F5540E">
        <w:rPr>
          <w:iCs/>
          <w:lang w:val="en-US"/>
        </w:rPr>
        <w:t>, edited by</w:t>
      </w:r>
      <w:r w:rsidRPr="00F5540E">
        <w:rPr>
          <w:lang w:val="en-US"/>
        </w:rPr>
        <w:t xml:space="preserve"> David Sneath, Bellingham: Center for East Asian Studies, Western Washington University, 245–263. </w:t>
      </w:r>
    </w:p>
    <w:p w:rsidR="00A14984" w:rsidRPr="00F825FC" w:rsidRDefault="00A14984" w:rsidP="00A14984">
      <w:pPr>
        <w:rPr>
          <w:lang w:val="en-US"/>
        </w:rPr>
      </w:pPr>
    </w:p>
    <w:p w:rsidR="00A14984" w:rsidRDefault="00A14984" w:rsidP="00A14984">
      <w:pPr>
        <w:rPr>
          <w:lang w:val="en-US"/>
        </w:rPr>
      </w:pPr>
      <w:r w:rsidRPr="00DF6ABE">
        <w:rPr>
          <w:lang w:val="en-US"/>
        </w:rPr>
        <w:t>Di</w:t>
      </w:r>
      <w:r>
        <w:rPr>
          <w:lang w:val="en-US"/>
        </w:rPr>
        <w:t xml:space="preserve"> Cosmo, Nicola</w:t>
      </w:r>
      <w:r w:rsidR="00F825FC">
        <w:rPr>
          <w:lang w:val="en-US"/>
        </w:rPr>
        <w:t xml:space="preserve"> (</w:t>
      </w:r>
      <w:r w:rsidR="00F825FC" w:rsidRPr="00F825FC">
        <w:rPr>
          <w:lang w:val="en-US"/>
        </w:rPr>
        <w:t>2007</w:t>
      </w:r>
      <w:r w:rsidR="00F825FC">
        <w:rPr>
          <w:lang w:val="en-US"/>
        </w:rPr>
        <w:t>)</w:t>
      </w:r>
      <w:r>
        <w:rPr>
          <w:lang w:val="en-US"/>
        </w:rPr>
        <w:t xml:space="preserve">: “Marital Politics on the Manchu-Mongol Frontier in the Early Seventeenth Century”, in: </w:t>
      </w:r>
      <w:r w:rsidRPr="009B34C9">
        <w:rPr>
          <w:i/>
          <w:lang w:val="en-US"/>
        </w:rPr>
        <w:t>The Chinese State at the Borders</w:t>
      </w:r>
      <w:r>
        <w:rPr>
          <w:lang w:val="en-US"/>
        </w:rPr>
        <w:t xml:space="preserve">, edited by Diana </w:t>
      </w:r>
      <w:proofErr w:type="spellStart"/>
      <w:r>
        <w:rPr>
          <w:lang w:val="en-US"/>
        </w:rPr>
        <w:t>Lary</w:t>
      </w:r>
      <w:proofErr w:type="spellEnd"/>
      <w:r>
        <w:rPr>
          <w:lang w:val="en-US"/>
        </w:rPr>
        <w:t>, Vancouver: UBC Press, 57-73.</w:t>
      </w:r>
    </w:p>
    <w:p w:rsidR="00F825FC" w:rsidRDefault="00F825FC" w:rsidP="00F825FC">
      <w:pPr>
        <w:rPr>
          <w:lang w:val="en-US"/>
        </w:rPr>
      </w:pPr>
    </w:p>
    <w:p w:rsidR="00F825FC" w:rsidRPr="00F825FC" w:rsidRDefault="00F825FC" w:rsidP="00F825FC">
      <w:pPr>
        <w:rPr>
          <w:lang w:val="en-US"/>
        </w:rPr>
      </w:pPr>
      <w:r w:rsidRPr="00F825FC">
        <w:rPr>
          <w:lang w:val="en-US"/>
        </w:rPr>
        <w:t>Di Cosmo, Nicola</w:t>
      </w:r>
      <w:r>
        <w:rPr>
          <w:lang w:val="en-US"/>
        </w:rPr>
        <w:t xml:space="preserve"> </w:t>
      </w:r>
      <w:r w:rsidRPr="00F825FC">
        <w:rPr>
          <w:lang w:val="en-US"/>
        </w:rPr>
        <w:t xml:space="preserve">(2012): “From Alliance to Tutelage: A Historical Analysis of Manchu-Mongol Relations before the Qing Conquest”, </w:t>
      </w:r>
      <w:r w:rsidRPr="00F825FC">
        <w:rPr>
          <w:i/>
          <w:lang w:val="en-US"/>
        </w:rPr>
        <w:t>Frontiers of History in China</w:t>
      </w:r>
      <w:r w:rsidR="00C410F5">
        <w:rPr>
          <w:lang w:val="en-US"/>
        </w:rPr>
        <w:t xml:space="preserve"> 7:</w:t>
      </w:r>
      <w:r w:rsidRPr="00F825FC">
        <w:rPr>
          <w:lang w:val="en-US"/>
        </w:rPr>
        <w:t xml:space="preserve">2, 175-197. </w:t>
      </w:r>
    </w:p>
    <w:p w:rsidR="00A14984" w:rsidRDefault="00A14984" w:rsidP="00A14984">
      <w:pPr>
        <w:rPr>
          <w:lang w:val="en-US"/>
        </w:rPr>
      </w:pPr>
    </w:p>
    <w:p w:rsidR="00A14984" w:rsidRPr="00F67DCF" w:rsidRDefault="00A14984" w:rsidP="00A14984">
      <w:pPr>
        <w:pStyle w:val="Literatur"/>
        <w:rPr>
          <w:lang w:val="en-US"/>
        </w:rPr>
      </w:pPr>
      <w:r w:rsidRPr="000E7CEF">
        <w:rPr>
          <w:lang w:val="en-US"/>
        </w:rPr>
        <w:t>Di Cosmo, Nicola and Dalizhabu Bao</w:t>
      </w:r>
      <w:r w:rsidR="00F825FC">
        <w:rPr>
          <w:lang w:val="en-US"/>
        </w:rPr>
        <w:t xml:space="preserve"> (</w:t>
      </w:r>
      <w:r w:rsidR="00F825FC" w:rsidRPr="00F825FC">
        <w:rPr>
          <w:lang w:val="en-US"/>
        </w:rPr>
        <w:t>2003</w:t>
      </w:r>
      <w:r w:rsidR="00F825FC">
        <w:rPr>
          <w:lang w:val="en-US"/>
        </w:rPr>
        <w:t>)</w:t>
      </w:r>
      <w:r>
        <w:rPr>
          <w:lang w:val="en-US"/>
        </w:rPr>
        <w:t>:</w:t>
      </w:r>
      <w:r w:rsidRPr="000E7CEF">
        <w:rPr>
          <w:lang w:val="en-US"/>
        </w:rPr>
        <w:t xml:space="preserve"> </w:t>
      </w:r>
      <w:r w:rsidRPr="000E7CEF">
        <w:rPr>
          <w:i/>
          <w:iCs/>
          <w:lang w:val="en-US"/>
        </w:rPr>
        <w:t>Manchu-Mongol Relations on the Eve of the Qing Conquest: a documentary history</w:t>
      </w:r>
      <w:r>
        <w:rPr>
          <w:lang w:val="en-US"/>
        </w:rPr>
        <w:t>,</w:t>
      </w:r>
      <w:r w:rsidRPr="000E7CEF">
        <w:rPr>
          <w:lang w:val="en-US"/>
        </w:rPr>
        <w:t xml:space="preserve"> Leiden: Brill.</w:t>
      </w:r>
    </w:p>
    <w:p w:rsidR="00A14984" w:rsidRDefault="00A14984" w:rsidP="00A14984">
      <w:pPr>
        <w:rPr>
          <w:lang w:val="en-US"/>
        </w:rPr>
      </w:pPr>
    </w:p>
    <w:p w:rsidR="00A14984" w:rsidRDefault="00A14984" w:rsidP="00A14984">
      <w:proofErr w:type="spellStart"/>
      <w:r w:rsidRPr="00C66FB5">
        <w:t>Doerfer</w:t>
      </w:r>
      <w:proofErr w:type="spellEnd"/>
      <w:r w:rsidRPr="00C66FB5">
        <w:t xml:space="preserve">, </w:t>
      </w:r>
      <w:r>
        <w:t>Gerhard</w:t>
      </w:r>
      <w:r w:rsidR="002614E6">
        <w:t xml:space="preserve"> (</w:t>
      </w:r>
      <w:r w:rsidR="002614E6" w:rsidRPr="002614E6">
        <w:t>1963</w:t>
      </w:r>
      <w:r w:rsidR="002614E6">
        <w:t>a)</w:t>
      </w:r>
      <w:r>
        <w:t xml:space="preserve">: </w:t>
      </w:r>
      <w:r w:rsidRPr="00C66FB5">
        <w:rPr>
          <w:i/>
        </w:rPr>
        <w:t xml:space="preserve">Der Numerus im </w:t>
      </w:r>
      <w:r w:rsidRPr="00541D9F">
        <w:rPr>
          <w:i/>
        </w:rPr>
        <w:t>Mandschu</w:t>
      </w:r>
      <w:r w:rsidRPr="00541D9F">
        <w:t xml:space="preserve">, </w:t>
      </w:r>
      <w:r>
        <w:t>Wiesbaden: Steiner.</w:t>
      </w:r>
    </w:p>
    <w:p w:rsidR="00A14984" w:rsidRDefault="00A14984" w:rsidP="00A14984"/>
    <w:p w:rsidR="00A14984" w:rsidRPr="00690098" w:rsidRDefault="00A14984" w:rsidP="00A14984">
      <w:proofErr w:type="spellStart"/>
      <w:r>
        <w:t>Doerfer</w:t>
      </w:r>
      <w:proofErr w:type="spellEnd"/>
      <w:r>
        <w:t>, Gerhard</w:t>
      </w:r>
      <w:r w:rsidR="002614E6">
        <w:t xml:space="preserve"> (</w:t>
      </w:r>
      <w:r w:rsidR="002614E6" w:rsidRPr="002614E6">
        <w:t>1963</w:t>
      </w:r>
      <w:r w:rsidR="002614E6">
        <w:t>b)</w:t>
      </w:r>
      <w:r>
        <w:t xml:space="preserve">: </w:t>
      </w:r>
      <w:r w:rsidRPr="007159A2">
        <w:rPr>
          <w:i/>
        </w:rPr>
        <w:t>Türkische und Mongolische Elemente</w:t>
      </w:r>
      <w:r>
        <w:rPr>
          <w:i/>
        </w:rPr>
        <w:t xml:space="preserve"> </w:t>
      </w:r>
      <w:r w:rsidRPr="007159A2">
        <w:rPr>
          <w:i/>
        </w:rPr>
        <w:t>im Neupersischen</w:t>
      </w:r>
      <w:r>
        <w:rPr>
          <w:i/>
        </w:rPr>
        <w:t xml:space="preserve"> unter Berücksichtigung älterer neupersischer Geschichtsquellen, vor allem der Mongolen- und </w:t>
      </w:r>
      <w:proofErr w:type="spellStart"/>
      <w:r>
        <w:rPr>
          <w:i/>
        </w:rPr>
        <w:t>Timuridenzeit</w:t>
      </w:r>
      <w:proofErr w:type="spellEnd"/>
      <w:r>
        <w:rPr>
          <w:i/>
        </w:rPr>
        <w:t xml:space="preserve">. </w:t>
      </w:r>
      <w:r w:rsidRPr="00690098">
        <w:rPr>
          <w:i/>
        </w:rPr>
        <w:t>vol. 1: Mongolische Elemente im Neupersischen</w:t>
      </w:r>
      <w:r w:rsidRPr="00690098">
        <w:t xml:space="preserve">, Wiesbaden: Steiner. </w:t>
      </w:r>
    </w:p>
    <w:p w:rsidR="00A14984" w:rsidRDefault="00A14984" w:rsidP="00A14984"/>
    <w:p w:rsidR="002C0FFC" w:rsidRDefault="002C0FFC" w:rsidP="00A14984">
      <w:pPr>
        <w:pStyle w:val="Literatur"/>
        <w:rPr>
          <w:lang w:val="en-US"/>
        </w:rPr>
      </w:pPr>
      <w:r>
        <w:rPr>
          <w:lang w:val="en-US"/>
        </w:rPr>
        <w:t>Elliott, Mark C.</w:t>
      </w:r>
      <w:r w:rsidR="002614E6" w:rsidRPr="002614E6">
        <w:rPr>
          <w:rFonts w:eastAsiaTheme="minorEastAsia" w:cs="Times New Roman"/>
          <w:noProof w:val="0"/>
          <w:color w:val="auto"/>
          <w:lang w:val="en-US"/>
        </w:rPr>
        <w:t xml:space="preserve"> </w:t>
      </w:r>
      <w:r w:rsidR="002614E6">
        <w:rPr>
          <w:rFonts w:eastAsiaTheme="minorEastAsia" w:cs="Times New Roman"/>
          <w:noProof w:val="0"/>
          <w:color w:val="auto"/>
          <w:lang w:val="en-US"/>
        </w:rPr>
        <w:t>(</w:t>
      </w:r>
      <w:r w:rsidR="002614E6" w:rsidRPr="002614E6">
        <w:rPr>
          <w:lang w:val="en-US"/>
        </w:rPr>
        <w:t>2001</w:t>
      </w:r>
      <w:r w:rsidR="002614E6">
        <w:rPr>
          <w:lang w:val="en-US"/>
        </w:rPr>
        <w:t>)</w:t>
      </w:r>
      <w:r>
        <w:rPr>
          <w:lang w:val="en-US"/>
        </w:rPr>
        <w:t xml:space="preserve">: </w:t>
      </w:r>
      <w:r w:rsidRPr="00623EF8">
        <w:rPr>
          <w:i/>
          <w:iCs/>
          <w:lang w:val="en-US"/>
        </w:rPr>
        <w:t>The Manchu Way. The</w:t>
      </w:r>
      <w:r w:rsidRPr="00FC1D5C">
        <w:rPr>
          <w:i/>
          <w:iCs/>
          <w:lang w:val="en-US"/>
        </w:rPr>
        <w:t xml:space="preserve"> Eight Banners and Ethnic Identity in Late Imperial China</w:t>
      </w:r>
      <w:r>
        <w:rPr>
          <w:lang w:val="en-US"/>
        </w:rPr>
        <w:t>, Stanford, California</w:t>
      </w:r>
      <w:r w:rsidR="00FC1D5C">
        <w:rPr>
          <w:lang w:val="en-US"/>
        </w:rPr>
        <w:t>: Stanford University Press.</w:t>
      </w:r>
    </w:p>
    <w:p w:rsidR="002C0FFC" w:rsidRPr="002C0FFC" w:rsidRDefault="002C0FFC" w:rsidP="00A14984">
      <w:pPr>
        <w:pStyle w:val="Literatur"/>
        <w:rPr>
          <w:lang w:val="en-US"/>
        </w:rPr>
      </w:pPr>
    </w:p>
    <w:p w:rsidR="00A14984" w:rsidRPr="00614AC7" w:rsidRDefault="00A14984" w:rsidP="00A14984">
      <w:pPr>
        <w:pStyle w:val="Literatur"/>
        <w:rPr>
          <w:lang w:val="en-US"/>
        </w:rPr>
      </w:pPr>
      <w:r w:rsidRPr="00F3567C">
        <w:rPr>
          <w:lang w:val="en-US"/>
        </w:rPr>
        <w:t xml:space="preserve">Elliott, </w:t>
      </w:r>
      <w:r>
        <w:rPr>
          <w:lang w:val="en-US"/>
        </w:rPr>
        <w:t>Mark</w:t>
      </w:r>
      <w:r w:rsidR="002C0FFC">
        <w:rPr>
          <w:lang w:val="en-US"/>
        </w:rPr>
        <w:t xml:space="preserve"> C.</w:t>
      </w:r>
      <w:r w:rsidR="002614E6" w:rsidRPr="002614E6">
        <w:rPr>
          <w:rFonts w:eastAsiaTheme="minorEastAsia" w:cs="Times New Roman"/>
          <w:noProof w:val="0"/>
          <w:color w:val="auto"/>
          <w:lang w:val="en-US"/>
        </w:rPr>
        <w:t xml:space="preserve"> </w:t>
      </w:r>
      <w:r w:rsidR="002614E6">
        <w:rPr>
          <w:rFonts w:eastAsiaTheme="minorEastAsia" w:cs="Times New Roman"/>
          <w:noProof w:val="0"/>
          <w:color w:val="auto"/>
          <w:lang w:val="en-US"/>
        </w:rPr>
        <w:t>(</w:t>
      </w:r>
      <w:r w:rsidR="002614E6" w:rsidRPr="002614E6">
        <w:rPr>
          <w:lang w:val="en-US"/>
        </w:rPr>
        <w:t>2011</w:t>
      </w:r>
      <w:r w:rsidR="002614E6">
        <w:rPr>
          <w:lang w:val="en-US"/>
        </w:rPr>
        <w:t>)</w:t>
      </w:r>
      <w:r>
        <w:rPr>
          <w:lang w:val="en-US"/>
        </w:rPr>
        <w:t>: “</w:t>
      </w:r>
      <w:r w:rsidRPr="00614AC7">
        <w:rPr>
          <w:lang w:val="en-US"/>
        </w:rPr>
        <w:t>National Minds and Imperial Frontiers: Inner Asia and China in the new century</w:t>
      </w:r>
      <w:r>
        <w:rPr>
          <w:lang w:val="en-US"/>
        </w:rPr>
        <w:t>”, i</w:t>
      </w:r>
      <w:r w:rsidRPr="00614AC7">
        <w:rPr>
          <w:lang w:val="en-US"/>
        </w:rPr>
        <w:t xml:space="preserve">n: </w:t>
      </w:r>
      <w:r w:rsidRPr="00614AC7">
        <w:rPr>
          <w:i/>
          <w:iCs/>
          <w:lang w:val="en-US"/>
        </w:rPr>
        <w:t>The People’s Republic of China at 60. An international assessment</w:t>
      </w:r>
      <w:r>
        <w:rPr>
          <w:iCs/>
          <w:lang w:val="en-US"/>
        </w:rPr>
        <w:t>, edited by</w:t>
      </w:r>
      <w:r w:rsidRPr="00614AC7">
        <w:rPr>
          <w:lang w:val="en-US"/>
        </w:rPr>
        <w:t xml:space="preserve"> William Kirby</w:t>
      </w:r>
      <w:r>
        <w:rPr>
          <w:i/>
          <w:iCs/>
          <w:lang w:val="en-US"/>
        </w:rPr>
        <w:t>,</w:t>
      </w:r>
      <w:r w:rsidRPr="00614AC7">
        <w:rPr>
          <w:i/>
          <w:iCs/>
          <w:lang w:val="en-US"/>
        </w:rPr>
        <w:t xml:space="preserve"> </w:t>
      </w:r>
      <w:r w:rsidRPr="00614AC7">
        <w:rPr>
          <w:lang w:val="en-US"/>
        </w:rPr>
        <w:t>Cambridge and L</w:t>
      </w:r>
      <w:r>
        <w:rPr>
          <w:lang w:val="en-US"/>
        </w:rPr>
        <w:t xml:space="preserve">ondon: Harvard University Press, </w:t>
      </w:r>
      <w:r w:rsidRPr="00614AC7">
        <w:rPr>
          <w:lang w:val="en-US"/>
        </w:rPr>
        <w:t>401–411.</w:t>
      </w:r>
    </w:p>
    <w:p w:rsidR="00A14984" w:rsidRPr="00614AC7" w:rsidRDefault="00A14984" w:rsidP="00A14984">
      <w:pPr>
        <w:pStyle w:val="Literatur"/>
        <w:rPr>
          <w:lang w:val="en-US"/>
        </w:rPr>
      </w:pPr>
    </w:p>
    <w:p w:rsidR="00E73BD8" w:rsidRPr="00E73BD8" w:rsidRDefault="00E73BD8" w:rsidP="00A14984">
      <w:pPr>
        <w:rPr>
          <w:lang w:val="en-US"/>
        </w:rPr>
      </w:pPr>
      <w:proofErr w:type="spellStart"/>
      <w:r w:rsidRPr="00E73BD8">
        <w:rPr>
          <w:lang w:val="en-US"/>
        </w:rPr>
        <w:lastRenderedPageBreak/>
        <w:t>Elverskog</w:t>
      </w:r>
      <w:proofErr w:type="spellEnd"/>
      <w:r w:rsidRPr="00E73BD8">
        <w:rPr>
          <w:lang w:val="en-US"/>
        </w:rPr>
        <w:t>, Johan</w:t>
      </w:r>
      <w:r w:rsidR="002614E6">
        <w:rPr>
          <w:lang w:val="en-US"/>
        </w:rPr>
        <w:t xml:space="preserve"> (</w:t>
      </w:r>
      <w:r w:rsidR="002614E6" w:rsidRPr="002614E6">
        <w:rPr>
          <w:lang w:val="en-US"/>
        </w:rPr>
        <w:t>2006</w:t>
      </w:r>
      <w:r w:rsidR="002614E6">
        <w:rPr>
          <w:lang w:val="en-US"/>
        </w:rPr>
        <w:t>)</w:t>
      </w:r>
      <w:r w:rsidRPr="00E73BD8">
        <w:rPr>
          <w:lang w:val="en-US"/>
        </w:rPr>
        <w:t xml:space="preserve">: </w:t>
      </w:r>
      <w:r w:rsidRPr="00E73BD8">
        <w:rPr>
          <w:i/>
          <w:iCs/>
          <w:lang w:val="en-US"/>
        </w:rPr>
        <w:t>Our Great Qing. The Mongols, Buddhism and the State in Late Imperial China</w:t>
      </w:r>
      <w:r>
        <w:rPr>
          <w:lang w:val="en-US"/>
        </w:rPr>
        <w:t>, Honolulu: University of Hawai’i Press.</w:t>
      </w:r>
    </w:p>
    <w:p w:rsidR="00E73BD8" w:rsidRDefault="00E73BD8" w:rsidP="00A14984">
      <w:pPr>
        <w:rPr>
          <w:lang w:val="en-US"/>
        </w:rPr>
      </w:pPr>
    </w:p>
    <w:p w:rsidR="00A14984" w:rsidRPr="00E821FF" w:rsidRDefault="00A14984" w:rsidP="00A14984">
      <w:proofErr w:type="spellStart"/>
      <w:r w:rsidRPr="00E821FF">
        <w:t>Emich</w:t>
      </w:r>
      <w:proofErr w:type="spellEnd"/>
      <w:r>
        <w:t xml:space="preserve">, Birgit, Nicole Reinhardt, </w:t>
      </w:r>
      <w:proofErr w:type="spellStart"/>
      <w:r>
        <w:t>Hillard</w:t>
      </w:r>
      <w:proofErr w:type="spellEnd"/>
      <w:r>
        <w:t xml:space="preserve"> von Thiessen </w:t>
      </w:r>
      <w:proofErr w:type="spellStart"/>
      <w:r>
        <w:t>and</w:t>
      </w:r>
      <w:proofErr w:type="spellEnd"/>
      <w:r>
        <w:t xml:space="preserve"> Christian Wieland</w:t>
      </w:r>
      <w:r w:rsidR="002614E6" w:rsidRPr="002614E6">
        <w:t>(2005)</w:t>
      </w:r>
      <w:r>
        <w:t>:</w:t>
      </w:r>
      <w:r w:rsidRPr="00E821FF">
        <w:t xml:space="preserve"> “Stand und Persp</w:t>
      </w:r>
      <w:r>
        <w:t xml:space="preserve">ektiven der </w:t>
      </w:r>
      <w:proofErr w:type="spellStart"/>
      <w:r>
        <w:t>Patronageforschung</w:t>
      </w:r>
      <w:proofErr w:type="spellEnd"/>
      <w:r>
        <w:t xml:space="preserve">”, </w:t>
      </w:r>
      <w:r w:rsidRPr="00FF0454">
        <w:rPr>
          <w:i/>
        </w:rPr>
        <w:t>Zeitschrift für Historische Forschung</w:t>
      </w:r>
      <w:r>
        <w:t xml:space="preserve"> 32, 233-265.</w:t>
      </w:r>
    </w:p>
    <w:p w:rsidR="00A14984" w:rsidRPr="00E821FF" w:rsidRDefault="00A14984" w:rsidP="00A14984"/>
    <w:p w:rsidR="00A14984" w:rsidRPr="00E821FF" w:rsidRDefault="00A14984" w:rsidP="00A14984">
      <w:pPr>
        <w:pStyle w:val="Literatur"/>
        <w:rPr>
          <w:lang w:val="en-US"/>
        </w:rPr>
      </w:pPr>
      <w:r w:rsidRPr="00FF0454">
        <w:rPr>
          <w:lang w:val="en-US"/>
        </w:rPr>
        <w:t>Fang, Chao-ying</w:t>
      </w:r>
      <w:r w:rsidR="002614E6">
        <w:rPr>
          <w:lang w:val="en-US"/>
        </w:rPr>
        <w:t xml:space="preserve"> (1943/</w:t>
      </w:r>
      <w:r w:rsidR="002614E6" w:rsidRPr="002614E6">
        <w:rPr>
          <w:lang w:val="en-US"/>
        </w:rPr>
        <w:t>44</w:t>
      </w:r>
      <w:r w:rsidR="002614E6">
        <w:rPr>
          <w:lang w:val="en-US"/>
        </w:rPr>
        <w:t>a)</w:t>
      </w:r>
      <w:r>
        <w:rPr>
          <w:lang w:val="en-US"/>
        </w:rPr>
        <w:t>: “</w:t>
      </w:r>
      <w:r w:rsidRPr="00FF0454">
        <w:rPr>
          <w:lang w:val="en-US"/>
        </w:rPr>
        <w:t xml:space="preserve">Dodo”, </w:t>
      </w:r>
      <w:r>
        <w:rPr>
          <w:lang w:val="en-US"/>
        </w:rPr>
        <w:t>i</w:t>
      </w:r>
      <w:r w:rsidRPr="00FF0454">
        <w:rPr>
          <w:lang w:val="en-US"/>
        </w:rPr>
        <w:t xml:space="preserve">n: </w:t>
      </w:r>
      <w:r w:rsidRPr="00FF0454">
        <w:rPr>
          <w:i/>
          <w:iCs/>
          <w:lang w:val="en-US"/>
        </w:rPr>
        <w:t>Eminent Chinese of the Ch’ing Period (1644–1912)</w:t>
      </w:r>
      <w:r>
        <w:rPr>
          <w:i/>
          <w:iCs/>
          <w:lang w:val="en-US"/>
        </w:rPr>
        <w:t xml:space="preserve">, </w:t>
      </w:r>
      <w:r w:rsidRPr="00FF0454">
        <w:rPr>
          <w:iCs/>
          <w:lang w:val="en-US"/>
        </w:rPr>
        <w:t>edited by</w:t>
      </w:r>
      <w:r w:rsidRPr="00FF0454">
        <w:rPr>
          <w:lang w:val="en-US"/>
        </w:rPr>
        <w:t xml:space="preserve"> Arthur W. Hummel</w:t>
      </w:r>
      <w:r w:rsidRPr="00FF0454">
        <w:rPr>
          <w:i/>
          <w:iCs/>
          <w:lang w:val="en-US"/>
        </w:rPr>
        <w:t xml:space="preserve">. </w:t>
      </w:r>
      <w:r w:rsidRPr="00FF0454">
        <w:rPr>
          <w:lang w:val="en-US"/>
        </w:rPr>
        <w:t>2 vols.</w:t>
      </w:r>
      <w:r>
        <w:rPr>
          <w:lang w:val="en-US"/>
        </w:rPr>
        <w:t>,</w:t>
      </w:r>
      <w:r w:rsidRPr="00FF0454">
        <w:rPr>
          <w:lang w:val="en-US"/>
        </w:rPr>
        <w:t xml:space="preserve"> Washington: U.S. Government Printing Office, </w:t>
      </w:r>
      <w:r>
        <w:rPr>
          <w:lang w:val="en-US"/>
        </w:rPr>
        <w:t>215,</w:t>
      </w:r>
      <w:r w:rsidRPr="00FF0454">
        <w:rPr>
          <w:lang w:val="en-US"/>
        </w:rPr>
        <w:t xml:space="preserve"> (Reprint 1991, Taipei: SMC Publishing). </w:t>
      </w:r>
    </w:p>
    <w:p w:rsidR="00A14984" w:rsidRPr="004B6363" w:rsidRDefault="00A14984" w:rsidP="00A14984">
      <w:pPr>
        <w:pStyle w:val="Funotentext"/>
        <w:rPr>
          <w:sz w:val="24"/>
          <w:szCs w:val="24"/>
          <w:lang w:val="en-US"/>
        </w:rPr>
      </w:pPr>
    </w:p>
    <w:p w:rsidR="00A14984" w:rsidRPr="00E821FF" w:rsidRDefault="00A14984" w:rsidP="00A14984">
      <w:pPr>
        <w:pStyle w:val="Literatur"/>
        <w:rPr>
          <w:lang w:val="en-US"/>
        </w:rPr>
      </w:pPr>
      <w:r w:rsidRPr="00FF0454">
        <w:rPr>
          <w:lang w:val="en-US"/>
        </w:rPr>
        <w:t>Fang, Chao-ying</w:t>
      </w:r>
      <w:r w:rsidR="002614E6">
        <w:rPr>
          <w:lang w:val="en-US"/>
        </w:rPr>
        <w:t xml:space="preserve"> (</w:t>
      </w:r>
      <w:r w:rsidR="002614E6" w:rsidRPr="002614E6">
        <w:rPr>
          <w:lang w:val="en-US"/>
        </w:rPr>
        <w:t>1943</w:t>
      </w:r>
      <w:r w:rsidR="002614E6">
        <w:rPr>
          <w:lang w:val="en-US"/>
        </w:rPr>
        <w:t>/</w:t>
      </w:r>
      <w:r w:rsidR="002614E6" w:rsidRPr="002614E6">
        <w:rPr>
          <w:lang w:val="en-US"/>
        </w:rPr>
        <w:t>44</w:t>
      </w:r>
      <w:r w:rsidR="002614E6">
        <w:rPr>
          <w:lang w:val="en-US"/>
        </w:rPr>
        <w:t>b)</w:t>
      </w:r>
      <w:r>
        <w:rPr>
          <w:lang w:val="en-US"/>
        </w:rPr>
        <w:t>: “</w:t>
      </w:r>
      <w:r w:rsidRPr="00FF0454">
        <w:rPr>
          <w:lang w:val="en-US"/>
        </w:rPr>
        <w:t>Hsiao-tuan Wen Huang-hou</w:t>
      </w:r>
      <w:r>
        <w:rPr>
          <w:lang w:val="en-US"/>
        </w:rPr>
        <w:t>”,</w:t>
      </w:r>
      <w:r w:rsidRPr="00FF0454">
        <w:rPr>
          <w:lang w:val="en-US"/>
        </w:rPr>
        <w:t xml:space="preserve"> </w:t>
      </w:r>
      <w:r>
        <w:rPr>
          <w:lang w:val="en-US"/>
        </w:rPr>
        <w:t>i</w:t>
      </w:r>
      <w:r w:rsidRPr="00FF0454">
        <w:rPr>
          <w:lang w:val="en-US"/>
        </w:rPr>
        <w:t xml:space="preserve">n: </w:t>
      </w:r>
      <w:r w:rsidRPr="00FF0454">
        <w:rPr>
          <w:i/>
          <w:iCs/>
          <w:lang w:val="en-US"/>
        </w:rPr>
        <w:t>Eminent Chinese of the Ch’ing Period (1644–1912)</w:t>
      </w:r>
      <w:r>
        <w:rPr>
          <w:i/>
          <w:iCs/>
          <w:lang w:val="en-US"/>
        </w:rPr>
        <w:t xml:space="preserve">, </w:t>
      </w:r>
      <w:r w:rsidRPr="00FF0454">
        <w:rPr>
          <w:iCs/>
          <w:lang w:val="en-US"/>
        </w:rPr>
        <w:t>edited by</w:t>
      </w:r>
      <w:r w:rsidRPr="00FF0454">
        <w:rPr>
          <w:lang w:val="en-US"/>
        </w:rPr>
        <w:t xml:space="preserve"> Arthur W. Hummel</w:t>
      </w:r>
      <w:r w:rsidRPr="00FF0454">
        <w:rPr>
          <w:i/>
          <w:iCs/>
          <w:lang w:val="en-US"/>
        </w:rPr>
        <w:t xml:space="preserve">. </w:t>
      </w:r>
      <w:r w:rsidRPr="00FF0454">
        <w:rPr>
          <w:lang w:val="en-US"/>
        </w:rPr>
        <w:t>2 vols.</w:t>
      </w:r>
      <w:r>
        <w:rPr>
          <w:lang w:val="en-US"/>
        </w:rPr>
        <w:t>,</w:t>
      </w:r>
      <w:r w:rsidRPr="00FF0454">
        <w:rPr>
          <w:lang w:val="en-US"/>
        </w:rPr>
        <w:t xml:space="preserve"> Washington: U.S. Government Printing Office, 304–305</w:t>
      </w:r>
      <w:r>
        <w:rPr>
          <w:lang w:val="en-US"/>
        </w:rPr>
        <w:t>,</w:t>
      </w:r>
      <w:r w:rsidRPr="00FF0454">
        <w:rPr>
          <w:lang w:val="en-US"/>
        </w:rPr>
        <w:t xml:space="preserve"> (Reprint 1991, Taipei: SMC Publishing). </w:t>
      </w:r>
    </w:p>
    <w:p w:rsidR="00A14984" w:rsidRPr="00E821FF" w:rsidRDefault="00A14984" w:rsidP="00A14984">
      <w:pPr>
        <w:rPr>
          <w:lang w:val="en-US"/>
        </w:rPr>
      </w:pPr>
    </w:p>
    <w:p w:rsidR="00A14984" w:rsidRPr="00E821FF" w:rsidRDefault="00A14984" w:rsidP="00A14984">
      <w:pPr>
        <w:rPr>
          <w:lang w:val="en-US"/>
        </w:rPr>
      </w:pPr>
      <w:r w:rsidRPr="00E821FF">
        <w:rPr>
          <w:lang w:val="en-US"/>
        </w:rPr>
        <w:t xml:space="preserve">Farquhar, </w:t>
      </w:r>
      <w:r>
        <w:rPr>
          <w:lang w:val="en-US"/>
        </w:rPr>
        <w:t>David M.</w:t>
      </w:r>
      <w:r w:rsidR="002614E6" w:rsidRPr="002614E6">
        <w:rPr>
          <w:lang w:val="en-US"/>
        </w:rPr>
        <w:t xml:space="preserve"> (1978)</w:t>
      </w:r>
      <w:r>
        <w:rPr>
          <w:lang w:val="en-US"/>
        </w:rPr>
        <w:t xml:space="preserve">: </w:t>
      </w:r>
      <w:r w:rsidRPr="00E821FF">
        <w:rPr>
          <w:lang w:val="en-US"/>
        </w:rPr>
        <w:t>“Emperor as Bodhisattva</w:t>
      </w:r>
      <w:r>
        <w:rPr>
          <w:lang w:val="en-US"/>
        </w:rPr>
        <w:t xml:space="preserve"> in the Governance of the Ch’ing Empire”, </w:t>
      </w:r>
      <w:r w:rsidRPr="00BD10E1">
        <w:rPr>
          <w:i/>
          <w:lang w:val="en-US"/>
        </w:rPr>
        <w:t>Harvard Journal of Asiatic Studies</w:t>
      </w:r>
      <w:r>
        <w:rPr>
          <w:lang w:val="en-US"/>
        </w:rPr>
        <w:t xml:space="preserve"> 38, 5-34.</w:t>
      </w:r>
      <w:r w:rsidRPr="00E821FF">
        <w:rPr>
          <w:lang w:val="en-US"/>
        </w:rPr>
        <w:t xml:space="preserve"> </w:t>
      </w:r>
    </w:p>
    <w:p w:rsidR="00A14984" w:rsidRPr="00E821FF" w:rsidRDefault="00A14984" w:rsidP="00A14984">
      <w:pPr>
        <w:rPr>
          <w:lang w:val="en-US"/>
        </w:rPr>
      </w:pPr>
    </w:p>
    <w:p w:rsidR="00A14984" w:rsidRPr="00BD10E2" w:rsidRDefault="00A14984" w:rsidP="00A14984">
      <w:r w:rsidRPr="00F3567C">
        <w:t>Fournier, Marcel</w:t>
      </w:r>
      <w:r w:rsidR="002614E6">
        <w:t xml:space="preserve"> (</w:t>
      </w:r>
      <w:r w:rsidR="002614E6" w:rsidRPr="002614E6">
        <w:t>2006</w:t>
      </w:r>
      <w:r w:rsidR="002614E6">
        <w:t>)</w:t>
      </w:r>
      <w:r w:rsidRPr="00F3567C">
        <w:t xml:space="preserve">: “Marcel </w:t>
      </w:r>
      <w:proofErr w:type="spellStart"/>
      <w:r w:rsidRPr="00F3567C">
        <w:t>Mauss</w:t>
      </w:r>
      <w:proofErr w:type="spellEnd"/>
      <w:r w:rsidRPr="00F3567C">
        <w:t xml:space="preserve"> oder die Gabe seiner selbst”, in: </w:t>
      </w:r>
      <w:r w:rsidRPr="00F3567C">
        <w:rPr>
          <w:i/>
        </w:rPr>
        <w:t>Gift – Marcel Mauss‘</w:t>
      </w:r>
      <w:r w:rsidRPr="00D04369">
        <w:rPr>
          <w:i/>
        </w:rPr>
        <w:t xml:space="preserve"> Kulturtheorie der Gabe</w:t>
      </w:r>
      <w:r w:rsidRPr="00D04369">
        <w:t xml:space="preserve">, </w:t>
      </w:r>
      <w:proofErr w:type="spellStart"/>
      <w:r w:rsidRPr="00D04369">
        <w:t>edited</w:t>
      </w:r>
      <w:proofErr w:type="spellEnd"/>
      <w:r w:rsidRPr="00D04369">
        <w:t xml:space="preserve"> </w:t>
      </w:r>
      <w:proofErr w:type="spellStart"/>
      <w:r w:rsidRPr="00D04369">
        <w:t>by</w:t>
      </w:r>
      <w:proofErr w:type="spellEnd"/>
      <w:r w:rsidRPr="00D04369">
        <w:t xml:space="preserve"> Stephan </w:t>
      </w:r>
      <w:proofErr w:type="spellStart"/>
      <w:r w:rsidRPr="00D04369">
        <w:t>Moebius</w:t>
      </w:r>
      <w:proofErr w:type="spellEnd"/>
      <w:r w:rsidR="00AB4CD3">
        <w:t xml:space="preserve"> et al.</w:t>
      </w:r>
      <w:r w:rsidRPr="00D04369">
        <w:t xml:space="preserve">, Wiesbaden: </w:t>
      </w:r>
      <w:r>
        <w:t xml:space="preserve">VS </w:t>
      </w:r>
      <w:r w:rsidRPr="00BD10E2">
        <w:t>Verlag für Sozialwissenschaften, 21-56.</w:t>
      </w:r>
    </w:p>
    <w:p w:rsidR="00A14984" w:rsidRPr="00BD10E2" w:rsidRDefault="00A14984" w:rsidP="00A14984"/>
    <w:p w:rsidR="00A14984" w:rsidRPr="0013315D" w:rsidRDefault="00A14984" w:rsidP="00A14984">
      <w:pPr>
        <w:pStyle w:val="Funotentext"/>
        <w:rPr>
          <w:i/>
          <w:sz w:val="24"/>
          <w:szCs w:val="24"/>
        </w:rPr>
      </w:pPr>
      <w:r w:rsidRPr="00BD10E2">
        <w:rPr>
          <w:sz w:val="24"/>
          <w:szCs w:val="24"/>
        </w:rPr>
        <w:t>Gruber</w:t>
      </w:r>
      <w:r>
        <w:rPr>
          <w:sz w:val="24"/>
          <w:szCs w:val="24"/>
        </w:rPr>
        <w:t xml:space="preserve">, </w:t>
      </w:r>
      <w:r w:rsidRPr="00BD10E2">
        <w:rPr>
          <w:sz w:val="24"/>
          <w:szCs w:val="24"/>
        </w:rPr>
        <w:t>Britta-Maria</w:t>
      </w:r>
      <w:r w:rsidR="002614E6">
        <w:rPr>
          <w:sz w:val="24"/>
          <w:szCs w:val="24"/>
        </w:rPr>
        <w:t xml:space="preserve"> (</w:t>
      </w:r>
      <w:r w:rsidR="002614E6" w:rsidRPr="002614E6">
        <w:rPr>
          <w:sz w:val="24"/>
          <w:szCs w:val="24"/>
        </w:rPr>
        <w:t>2006</w:t>
      </w:r>
      <w:r w:rsidR="002614E6">
        <w:rPr>
          <w:sz w:val="24"/>
          <w:szCs w:val="24"/>
        </w:rPr>
        <w:t>)</w:t>
      </w:r>
      <w:r>
        <w:rPr>
          <w:sz w:val="24"/>
          <w:szCs w:val="24"/>
        </w:rPr>
        <w:t>:</w:t>
      </w:r>
      <w:r w:rsidRPr="00BD10E2">
        <w:rPr>
          <w:i/>
          <w:sz w:val="24"/>
          <w:szCs w:val="24"/>
        </w:rPr>
        <w:t xml:space="preserve"> Zur Entwicklung der Herrschaft im </w:t>
      </w:r>
      <w:proofErr w:type="spellStart"/>
      <w:r w:rsidRPr="00BD10E2">
        <w:rPr>
          <w:i/>
          <w:sz w:val="24"/>
          <w:szCs w:val="24"/>
        </w:rPr>
        <w:t>Aisin</w:t>
      </w:r>
      <w:proofErr w:type="spellEnd"/>
      <w:r w:rsidRPr="00BD10E2">
        <w:rPr>
          <w:i/>
          <w:sz w:val="24"/>
          <w:szCs w:val="24"/>
        </w:rPr>
        <w:t xml:space="preserve">-Staat 1616-1636, </w:t>
      </w:r>
      <w:r>
        <w:rPr>
          <w:sz w:val="24"/>
          <w:szCs w:val="24"/>
        </w:rPr>
        <w:t xml:space="preserve">Wiesbaden: </w:t>
      </w:r>
      <w:proofErr w:type="spellStart"/>
      <w:r>
        <w:rPr>
          <w:sz w:val="24"/>
          <w:szCs w:val="24"/>
        </w:rPr>
        <w:t>Harrassowitz</w:t>
      </w:r>
      <w:proofErr w:type="spellEnd"/>
      <w:r w:rsidRPr="0013315D">
        <w:rPr>
          <w:i/>
          <w:sz w:val="24"/>
          <w:szCs w:val="24"/>
        </w:rPr>
        <w:t>.</w:t>
      </w:r>
    </w:p>
    <w:p w:rsidR="00A14984" w:rsidRPr="0013315D" w:rsidRDefault="00A14984" w:rsidP="00A14984"/>
    <w:p w:rsidR="00A14984" w:rsidRDefault="00A14984" w:rsidP="00A14984">
      <w:r w:rsidRPr="000573CB">
        <w:t xml:space="preserve">Hauer, </w:t>
      </w:r>
      <w:r>
        <w:t>Erich</w:t>
      </w:r>
      <w:r w:rsidR="00A236E2">
        <w:t xml:space="preserve"> (</w:t>
      </w:r>
      <w:r w:rsidR="00A236E2" w:rsidRPr="00A236E2">
        <w:t>1926</w:t>
      </w:r>
      <w:r w:rsidR="00A236E2">
        <w:t>)</w:t>
      </w:r>
      <w:r>
        <w:t xml:space="preserve">: </w:t>
      </w:r>
      <w:r w:rsidRPr="000573CB">
        <w:rPr>
          <w:i/>
        </w:rPr>
        <w:t>Huang-</w:t>
      </w:r>
      <w:proofErr w:type="spellStart"/>
      <w:r w:rsidRPr="000573CB">
        <w:rPr>
          <w:i/>
        </w:rPr>
        <w:t>Ts’ing</w:t>
      </w:r>
      <w:proofErr w:type="spellEnd"/>
      <w:r w:rsidRPr="000573CB">
        <w:rPr>
          <w:i/>
        </w:rPr>
        <w:t xml:space="preserve"> </w:t>
      </w:r>
      <w:proofErr w:type="spellStart"/>
      <w:r w:rsidRPr="000573CB">
        <w:rPr>
          <w:i/>
        </w:rPr>
        <w:t>K’ai-kuo</w:t>
      </w:r>
      <w:proofErr w:type="spellEnd"/>
      <w:r w:rsidRPr="000573CB">
        <w:rPr>
          <w:i/>
        </w:rPr>
        <w:t xml:space="preserve"> Fang-</w:t>
      </w:r>
      <w:proofErr w:type="spellStart"/>
      <w:r w:rsidRPr="000573CB">
        <w:rPr>
          <w:i/>
        </w:rPr>
        <w:t>lüeh</w:t>
      </w:r>
      <w:proofErr w:type="spellEnd"/>
      <w:r>
        <w:rPr>
          <w:i/>
        </w:rPr>
        <w:t>. Die Gründung des Mandschurischen Kaiserreiches</w:t>
      </w:r>
      <w:r w:rsidRPr="000573CB">
        <w:t xml:space="preserve">, </w:t>
      </w:r>
      <w:r>
        <w:t xml:space="preserve">Berlin, Leipzig: Walter de </w:t>
      </w:r>
      <w:proofErr w:type="spellStart"/>
      <w:r>
        <w:t>Gruyter</w:t>
      </w:r>
      <w:proofErr w:type="spellEnd"/>
      <w:r>
        <w:t xml:space="preserve"> &amp; Co..</w:t>
      </w:r>
    </w:p>
    <w:p w:rsidR="00A14984" w:rsidRDefault="00A14984" w:rsidP="00A14984"/>
    <w:p w:rsidR="00A14984" w:rsidRPr="008A713A" w:rsidRDefault="00A14984" w:rsidP="00A14984">
      <w:pPr>
        <w:pStyle w:val="Literatur"/>
        <w:rPr>
          <w:lang w:val="en-US"/>
        </w:rPr>
      </w:pPr>
      <w:r w:rsidRPr="008A713A">
        <w:rPr>
          <w:lang w:val="en-US"/>
        </w:rPr>
        <w:t>Heuschert, Dorothea</w:t>
      </w:r>
      <w:r w:rsidR="00A236E2">
        <w:rPr>
          <w:lang w:val="en-US"/>
        </w:rPr>
        <w:t xml:space="preserve"> </w:t>
      </w:r>
      <w:r w:rsidR="00A236E2" w:rsidRPr="00A236E2">
        <w:rPr>
          <w:lang w:val="en-US"/>
        </w:rPr>
        <w:t>(1998</w:t>
      </w:r>
      <w:r w:rsidR="00A236E2">
        <w:rPr>
          <w:lang w:val="en-US"/>
        </w:rPr>
        <w:t>)</w:t>
      </w:r>
      <w:r w:rsidRPr="008A713A">
        <w:rPr>
          <w:lang w:val="en-US"/>
        </w:rPr>
        <w:t xml:space="preserve">: </w:t>
      </w:r>
      <w:r>
        <w:rPr>
          <w:lang w:val="en-US"/>
        </w:rPr>
        <w:t>“</w:t>
      </w:r>
      <w:r w:rsidRPr="008A713A">
        <w:rPr>
          <w:lang w:val="en-US"/>
        </w:rPr>
        <w:t>Legal Pluralism in the Qing Empire: Manchu legislation for the Mongols</w:t>
      </w:r>
      <w:r>
        <w:rPr>
          <w:lang w:val="en-US"/>
        </w:rPr>
        <w:t xml:space="preserve">”, </w:t>
      </w:r>
      <w:r w:rsidRPr="008A713A">
        <w:rPr>
          <w:i/>
          <w:iCs/>
          <w:lang w:val="en-US"/>
        </w:rPr>
        <w:t>The International History Review</w:t>
      </w:r>
      <w:r w:rsidRPr="008A713A">
        <w:rPr>
          <w:lang w:val="en-US"/>
        </w:rPr>
        <w:t xml:space="preserve"> 20</w:t>
      </w:r>
      <w:r w:rsidR="00C410F5">
        <w:rPr>
          <w:lang w:val="en-US"/>
        </w:rPr>
        <w:t>:</w:t>
      </w:r>
      <w:r w:rsidRPr="008A713A">
        <w:rPr>
          <w:lang w:val="en-US"/>
        </w:rPr>
        <w:t>2, 310–324.</w:t>
      </w:r>
    </w:p>
    <w:p w:rsidR="00A14984" w:rsidRPr="008A713A" w:rsidRDefault="00A14984" w:rsidP="00A14984">
      <w:pPr>
        <w:pStyle w:val="Literatur"/>
        <w:rPr>
          <w:lang w:val="en-US"/>
        </w:rPr>
      </w:pPr>
    </w:p>
    <w:p w:rsidR="00A14984" w:rsidRPr="00FB3D3E" w:rsidRDefault="00A14984" w:rsidP="00A14984">
      <w:pPr>
        <w:pStyle w:val="Literatur"/>
        <w:rPr>
          <w:lang w:val="en-US"/>
        </w:rPr>
      </w:pPr>
      <w:r w:rsidRPr="00FB3D3E">
        <w:rPr>
          <w:lang w:val="en-US"/>
        </w:rPr>
        <w:t>Heuschert-Laage, Dorothea</w:t>
      </w:r>
      <w:r w:rsidR="00A236E2">
        <w:rPr>
          <w:lang w:val="en-US"/>
        </w:rPr>
        <w:t xml:space="preserve"> </w:t>
      </w:r>
      <w:r w:rsidR="00A236E2" w:rsidRPr="00A236E2">
        <w:rPr>
          <w:lang w:val="en-US"/>
        </w:rPr>
        <w:t>(2011)</w:t>
      </w:r>
      <w:r w:rsidRPr="00FB3D3E">
        <w:rPr>
          <w:lang w:val="en-US"/>
        </w:rPr>
        <w:t xml:space="preserve">: „Defining a Hierarchy. Formal Requirements </w:t>
      </w:r>
      <w:r>
        <w:rPr>
          <w:lang w:val="en-US"/>
        </w:rPr>
        <w:t xml:space="preserve">for Manchu-Mongolian Correspondence Issued in 1636”, </w:t>
      </w:r>
      <w:r w:rsidRPr="007C3F63">
        <w:rPr>
          <w:i/>
          <w:lang w:val="en-US"/>
        </w:rPr>
        <w:t>Questiones Mongolorum Disputatae</w:t>
      </w:r>
      <w:r>
        <w:rPr>
          <w:lang w:val="en-US"/>
        </w:rPr>
        <w:t xml:space="preserve"> 7, 48-58.</w:t>
      </w:r>
    </w:p>
    <w:p w:rsidR="00A14984" w:rsidRPr="00FB3D3E" w:rsidRDefault="00A14984" w:rsidP="00A14984">
      <w:pPr>
        <w:pStyle w:val="Literatur"/>
        <w:rPr>
          <w:lang w:val="en-US"/>
        </w:rPr>
      </w:pPr>
    </w:p>
    <w:p w:rsidR="00A14984" w:rsidRPr="00D22802" w:rsidRDefault="00A14984" w:rsidP="00A14984">
      <w:pPr>
        <w:rPr>
          <w:lang w:val="en-US"/>
        </w:rPr>
      </w:pPr>
      <w:proofErr w:type="spellStart"/>
      <w:r w:rsidRPr="00D22802">
        <w:rPr>
          <w:lang w:val="en-US"/>
        </w:rPr>
        <w:t>Heuschert-Laage</w:t>
      </w:r>
      <w:proofErr w:type="spellEnd"/>
      <w:r w:rsidRPr="00D22802">
        <w:rPr>
          <w:lang w:val="en-US"/>
        </w:rPr>
        <w:t>, Dorothea</w:t>
      </w:r>
      <w:r w:rsidR="00A236E2">
        <w:rPr>
          <w:lang w:val="en-US"/>
        </w:rPr>
        <w:t xml:space="preserve"> (</w:t>
      </w:r>
      <w:r w:rsidR="00A236E2" w:rsidRPr="00A236E2">
        <w:rPr>
          <w:lang w:val="en-US"/>
        </w:rPr>
        <w:t>2012</w:t>
      </w:r>
      <w:r w:rsidR="00A236E2">
        <w:rPr>
          <w:lang w:val="en-US"/>
        </w:rPr>
        <w:t>)</w:t>
      </w:r>
      <w:r w:rsidRPr="00D22802">
        <w:rPr>
          <w:lang w:val="en-US"/>
        </w:rPr>
        <w:t xml:space="preserve">: „State Authority Contested along Jurisdictional Boundaries. </w:t>
      </w:r>
      <w:r>
        <w:rPr>
          <w:lang w:val="en-US"/>
        </w:rPr>
        <w:t>Qing Legal Policy towards the Mongols in the 17</w:t>
      </w:r>
      <w:r w:rsidRPr="00D22802">
        <w:rPr>
          <w:vertAlign w:val="superscript"/>
          <w:lang w:val="en-US"/>
        </w:rPr>
        <w:t>th</w:t>
      </w:r>
      <w:r>
        <w:rPr>
          <w:lang w:val="en-US"/>
        </w:rPr>
        <w:t xml:space="preserve"> and 18</w:t>
      </w:r>
      <w:r w:rsidRPr="00D22802">
        <w:rPr>
          <w:vertAlign w:val="superscript"/>
          <w:lang w:val="en-US"/>
        </w:rPr>
        <w:t>th</w:t>
      </w:r>
      <w:r>
        <w:rPr>
          <w:lang w:val="en-US"/>
        </w:rPr>
        <w:t xml:space="preserve"> Centuries”, </w:t>
      </w:r>
      <w:r w:rsidRPr="00D22802">
        <w:rPr>
          <w:i/>
          <w:lang w:val="en-US"/>
        </w:rPr>
        <w:t>Max Planck Institute for Social Anthropology Working Paper No. 138</w:t>
      </w:r>
      <w:r>
        <w:rPr>
          <w:lang w:val="en-US"/>
        </w:rPr>
        <w:t>, Halle/Saale: Max Planck Institute for Social Anthropology, (23 pages).</w:t>
      </w:r>
    </w:p>
    <w:p w:rsidR="00A14984" w:rsidRPr="00D22802" w:rsidRDefault="00A14984" w:rsidP="00A14984">
      <w:pPr>
        <w:rPr>
          <w:lang w:val="en-US"/>
        </w:rPr>
      </w:pPr>
    </w:p>
    <w:p w:rsidR="00E11F8C" w:rsidRPr="00E11F8C" w:rsidRDefault="00E11F8C" w:rsidP="00A14984">
      <w:pPr>
        <w:rPr>
          <w:lang w:val="en-US"/>
        </w:rPr>
      </w:pPr>
      <w:proofErr w:type="spellStart"/>
      <w:r w:rsidRPr="00E11F8C">
        <w:rPr>
          <w:lang w:val="en-US"/>
        </w:rPr>
        <w:t>Hevia</w:t>
      </w:r>
      <w:proofErr w:type="spellEnd"/>
      <w:r w:rsidRPr="00E11F8C">
        <w:rPr>
          <w:lang w:val="en-US"/>
        </w:rPr>
        <w:t>, James L.</w:t>
      </w:r>
      <w:r w:rsidR="00A236E2" w:rsidRPr="00A236E2">
        <w:rPr>
          <w:lang w:val="en-US"/>
        </w:rPr>
        <w:t xml:space="preserve"> </w:t>
      </w:r>
      <w:r w:rsidR="00A236E2">
        <w:rPr>
          <w:lang w:val="en-US"/>
        </w:rPr>
        <w:t>(</w:t>
      </w:r>
      <w:r w:rsidR="00A236E2" w:rsidRPr="00A236E2">
        <w:rPr>
          <w:lang w:val="en-US"/>
        </w:rPr>
        <w:t>1995</w:t>
      </w:r>
      <w:r w:rsidR="00A236E2">
        <w:rPr>
          <w:lang w:val="en-US"/>
        </w:rPr>
        <w:t>)</w:t>
      </w:r>
      <w:r w:rsidRPr="00E11F8C">
        <w:rPr>
          <w:lang w:val="en-US"/>
        </w:rPr>
        <w:t xml:space="preserve">: </w:t>
      </w:r>
      <w:r w:rsidRPr="00E11F8C">
        <w:rPr>
          <w:i/>
          <w:lang w:val="en-US"/>
        </w:rPr>
        <w:t xml:space="preserve">Cherishing Men from Afar. Qing Guest Ritual and the </w:t>
      </w:r>
      <w:proofErr w:type="spellStart"/>
      <w:r w:rsidRPr="00E11F8C">
        <w:rPr>
          <w:i/>
          <w:lang w:val="en-US"/>
        </w:rPr>
        <w:t>Macartney</w:t>
      </w:r>
      <w:proofErr w:type="spellEnd"/>
      <w:r w:rsidRPr="00E11F8C">
        <w:rPr>
          <w:i/>
          <w:lang w:val="en-US"/>
        </w:rPr>
        <w:t xml:space="preserve"> Embassy of 1793</w:t>
      </w:r>
      <w:r w:rsidRPr="00E11F8C">
        <w:rPr>
          <w:lang w:val="en-US"/>
        </w:rPr>
        <w:t>, D</w:t>
      </w:r>
      <w:r>
        <w:rPr>
          <w:lang w:val="en-US"/>
        </w:rPr>
        <w:t>urham and London: Duke University Press.</w:t>
      </w:r>
    </w:p>
    <w:p w:rsidR="00E11F8C" w:rsidRPr="00E11F8C" w:rsidRDefault="00E11F8C" w:rsidP="00A14984">
      <w:pPr>
        <w:rPr>
          <w:lang w:val="en-US"/>
        </w:rPr>
      </w:pPr>
    </w:p>
    <w:p w:rsidR="00A14984" w:rsidRPr="00241D0D" w:rsidRDefault="00A14984" w:rsidP="00A14984">
      <w:pPr>
        <w:rPr>
          <w:lang w:val="en-US"/>
        </w:rPr>
      </w:pPr>
      <w:proofErr w:type="spellStart"/>
      <w:r w:rsidRPr="00241D0D">
        <w:rPr>
          <w:lang w:val="en-US"/>
        </w:rPr>
        <w:t>Jagchid</w:t>
      </w:r>
      <w:proofErr w:type="spellEnd"/>
      <w:r w:rsidRPr="00241D0D">
        <w:rPr>
          <w:lang w:val="en-US"/>
        </w:rPr>
        <w:t xml:space="preserve">, </w:t>
      </w:r>
      <w:proofErr w:type="spellStart"/>
      <w:r w:rsidRPr="00241D0D">
        <w:rPr>
          <w:lang w:val="en-US"/>
        </w:rPr>
        <w:t>Sechin</w:t>
      </w:r>
      <w:proofErr w:type="spellEnd"/>
      <w:r w:rsidR="00A236E2">
        <w:rPr>
          <w:lang w:val="en-US"/>
        </w:rPr>
        <w:t xml:space="preserve"> </w:t>
      </w:r>
      <w:r w:rsidR="00A236E2">
        <w:rPr>
          <w:iCs/>
          <w:lang w:val="en-US"/>
        </w:rPr>
        <w:t>(1986)</w:t>
      </w:r>
      <w:r w:rsidRPr="00241D0D">
        <w:rPr>
          <w:lang w:val="en-US"/>
        </w:rPr>
        <w:t xml:space="preserve">: “Mongolian-Manchu Intermarriage in the Ch’ing Period”, </w:t>
      </w:r>
      <w:proofErr w:type="spellStart"/>
      <w:r w:rsidRPr="00241D0D">
        <w:rPr>
          <w:i/>
          <w:iCs/>
          <w:lang w:val="en-US"/>
        </w:rPr>
        <w:t>Zentralasiatische</w:t>
      </w:r>
      <w:proofErr w:type="spellEnd"/>
      <w:r w:rsidRPr="00241D0D">
        <w:rPr>
          <w:i/>
          <w:iCs/>
          <w:lang w:val="en-US"/>
        </w:rPr>
        <w:t xml:space="preserve"> </w:t>
      </w:r>
      <w:proofErr w:type="spellStart"/>
      <w:r w:rsidRPr="00241D0D">
        <w:rPr>
          <w:i/>
          <w:iCs/>
          <w:lang w:val="en-US"/>
        </w:rPr>
        <w:t>Studien</w:t>
      </w:r>
      <w:proofErr w:type="spellEnd"/>
      <w:r w:rsidRPr="00241D0D">
        <w:rPr>
          <w:i/>
          <w:iCs/>
          <w:lang w:val="en-US"/>
        </w:rPr>
        <w:t xml:space="preserve"> </w:t>
      </w:r>
      <w:r w:rsidRPr="00241D0D">
        <w:rPr>
          <w:iCs/>
          <w:lang w:val="en-US"/>
        </w:rPr>
        <w:t>19</w:t>
      </w:r>
      <w:r w:rsidR="00A236E2">
        <w:rPr>
          <w:iCs/>
          <w:lang w:val="en-US"/>
        </w:rPr>
        <w:t>,</w:t>
      </w:r>
      <w:r w:rsidRPr="00241D0D">
        <w:rPr>
          <w:iCs/>
          <w:lang w:val="en-US"/>
        </w:rPr>
        <w:t xml:space="preserve"> 68-87.</w:t>
      </w:r>
    </w:p>
    <w:p w:rsidR="00A14984" w:rsidRPr="00241D0D" w:rsidRDefault="00A14984" w:rsidP="00A14984">
      <w:pPr>
        <w:rPr>
          <w:lang w:val="en-US"/>
        </w:rPr>
      </w:pPr>
    </w:p>
    <w:p w:rsidR="00A14984" w:rsidRPr="000853A7" w:rsidRDefault="00A14984" w:rsidP="00A14984">
      <w:pPr>
        <w:pStyle w:val="Literatur"/>
        <w:rPr>
          <w:lang w:val="en-US"/>
        </w:rPr>
      </w:pPr>
      <w:r w:rsidRPr="00241D0D">
        <w:rPr>
          <w:i/>
          <w:lang w:val="en-US"/>
        </w:rPr>
        <w:t>Jiu Manzhou Dang</w:t>
      </w:r>
      <w:r w:rsidRPr="005120B2">
        <w:rPr>
          <w:rFonts w:asciiTheme="minorEastAsia" w:eastAsiaTheme="minorEastAsia" w:hAnsiTheme="minorEastAsia"/>
        </w:rPr>
        <w:t>舊滿洲</w:t>
      </w:r>
      <w:r w:rsidRPr="005120B2">
        <w:rPr>
          <w:rFonts w:asciiTheme="minorEastAsia" w:eastAsiaTheme="minorEastAsia" w:hAnsiTheme="minorEastAsia" w:cs="Batang" w:hint="eastAsia"/>
        </w:rPr>
        <w:t>檔</w:t>
      </w:r>
      <w:r w:rsidR="00A236E2" w:rsidRPr="00A236E2">
        <w:rPr>
          <w:rFonts w:ascii="Batang" w:eastAsia="Batang" w:hAnsi="Batang" w:cs="Batang"/>
          <w:lang w:val="en-US"/>
        </w:rPr>
        <w:t>(</w:t>
      </w:r>
      <w:r w:rsidR="00A236E2" w:rsidRPr="000853A7">
        <w:rPr>
          <w:rFonts w:eastAsia="Batang" w:cs="Times New Roman"/>
          <w:lang w:val="en-US"/>
        </w:rPr>
        <w:t>1969)</w:t>
      </w:r>
      <w:r w:rsidRPr="00A236E2">
        <w:rPr>
          <w:rFonts w:cs="Times New Roman"/>
          <w:i/>
          <w:lang w:val="en-US"/>
        </w:rPr>
        <w:t>,</w:t>
      </w:r>
      <w:r w:rsidRPr="00A236E2">
        <w:rPr>
          <w:rFonts w:cs="Times New Roman"/>
          <w:lang w:val="en-US"/>
        </w:rPr>
        <w:t xml:space="preserve"> edited by Chen</w:t>
      </w:r>
      <w:r w:rsidRPr="00241D0D">
        <w:rPr>
          <w:lang w:val="en-US"/>
        </w:rPr>
        <w:t xml:space="preserve"> Jiexian </w:t>
      </w:r>
      <w:r w:rsidRPr="005120B2">
        <w:rPr>
          <w:rFonts w:asciiTheme="minorEastAsia" w:eastAsiaTheme="minorEastAsia" w:hAnsiTheme="minorEastAsia"/>
        </w:rPr>
        <w:t>陳捷先</w:t>
      </w:r>
      <w:r w:rsidRPr="00241D0D">
        <w:rPr>
          <w:lang w:val="en-US"/>
        </w:rPr>
        <w:t xml:space="preserve">, </w:t>
      </w:r>
      <w:r w:rsidRPr="000853A7">
        <w:rPr>
          <w:lang w:val="en-US"/>
        </w:rPr>
        <w:t>10 vols., Taipei: National Palace Museum.</w:t>
      </w:r>
    </w:p>
    <w:p w:rsidR="00A14984" w:rsidRPr="00241D0D" w:rsidRDefault="00A14984" w:rsidP="00A14984">
      <w:pPr>
        <w:rPr>
          <w:lang w:val="en-US"/>
        </w:rPr>
      </w:pPr>
    </w:p>
    <w:p w:rsidR="00CD3924" w:rsidRDefault="00CD3924" w:rsidP="00A14984">
      <w:pPr>
        <w:rPr>
          <w:lang w:val="en-US"/>
        </w:rPr>
      </w:pPr>
      <w:proofErr w:type="spellStart"/>
      <w:r>
        <w:rPr>
          <w:lang w:val="en-US"/>
        </w:rPr>
        <w:t>Kamimura</w:t>
      </w:r>
      <w:proofErr w:type="spellEnd"/>
      <w:r>
        <w:rPr>
          <w:lang w:val="en-US"/>
        </w:rPr>
        <w:t>, Akira</w:t>
      </w:r>
      <w:r w:rsidR="00A236E2">
        <w:rPr>
          <w:lang w:val="en-US"/>
        </w:rPr>
        <w:t xml:space="preserve"> (</w:t>
      </w:r>
      <w:r w:rsidR="00A236E2" w:rsidRPr="00A236E2">
        <w:rPr>
          <w:lang w:val="en-US"/>
        </w:rPr>
        <w:t>2005</w:t>
      </w:r>
      <w:r w:rsidR="00A236E2">
        <w:rPr>
          <w:lang w:val="en-US"/>
        </w:rPr>
        <w:t>)</w:t>
      </w:r>
      <w:r>
        <w:rPr>
          <w:lang w:val="en-US"/>
        </w:rPr>
        <w:t xml:space="preserve">: “A Preliminary Analysis of Old Mongolian Manuscript Maps: Towards an Understanding of the Mongol’ Perception of the Landscape”, in: </w:t>
      </w:r>
      <w:r w:rsidRPr="00CD3924">
        <w:rPr>
          <w:i/>
          <w:iCs/>
          <w:lang w:val="en-US"/>
        </w:rPr>
        <w:t xml:space="preserve">Landscapes </w:t>
      </w:r>
      <w:r w:rsidRPr="00CD3924">
        <w:rPr>
          <w:i/>
          <w:iCs/>
          <w:lang w:val="en-US"/>
        </w:rPr>
        <w:lastRenderedPageBreak/>
        <w:t>Reflected in Old Mongolian Maps</w:t>
      </w:r>
      <w:r>
        <w:rPr>
          <w:lang w:val="en-US"/>
        </w:rPr>
        <w:t xml:space="preserve">, edited by </w:t>
      </w:r>
      <w:proofErr w:type="spellStart"/>
      <w:r>
        <w:rPr>
          <w:lang w:val="en-US"/>
        </w:rPr>
        <w:t>Futaki</w:t>
      </w:r>
      <w:proofErr w:type="spellEnd"/>
      <w:r>
        <w:rPr>
          <w:lang w:val="en-US"/>
        </w:rPr>
        <w:t xml:space="preserve"> Hiroshi and </w:t>
      </w:r>
      <w:proofErr w:type="spellStart"/>
      <w:r>
        <w:rPr>
          <w:lang w:val="en-US"/>
        </w:rPr>
        <w:t>Kamimura</w:t>
      </w:r>
      <w:proofErr w:type="spellEnd"/>
      <w:r>
        <w:rPr>
          <w:lang w:val="en-US"/>
        </w:rPr>
        <w:t xml:space="preserve"> Akira, Tokyo: Tokyo University of Foreign Studies, 1-26.</w:t>
      </w:r>
    </w:p>
    <w:p w:rsidR="00CD3924" w:rsidRDefault="00CD3924" w:rsidP="00A14984">
      <w:pPr>
        <w:rPr>
          <w:lang w:val="en-US"/>
        </w:rPr>
      </w:pPr>
    </w:p>
    <w:p w:rsidR="00A14984" w:rsidRDefault="00A14984" w:rsidP="00A14984">
      <w:pPr>
        <w:rPr>
          <w:lang w:val="en-US"/>
        </w:rPr>
      </w:pPr>
      <w:r w:rsidRPr="00241D0D">
        <w:rPr>
          <w:lang w:val="en-US"/>
        </w:rPr>
        <w:t>Kettering, Sharon</w:t>
      </w:r>
      <w:r w:rsidR="00A236E2">
        <w:rPr>
          <w:lang w:val="en-US"/>
        </w:rPr>
        <w:t xml:space="preserve"> </w:t>
      </w:r>
      <w:r w:rsidR="00A236E2" w:rsidRPr="00A236E2">
        <w:rPr>
          <w:lang w:val="en-US"/>
        </w:rPr>
        <w:t>(1988)</w:t>
      </w:r>
      <w:r w:rsidRPr="00241D0D">
        <w:rPr>
          <w:lang w:val="en-US"/>
        </w:rPr>
        <w:t xml:space="preserve">: “Gift-Giving and Patronage in Early Modern France”, </w:t>
      </w:r>
      <w:r w:rsidRPr="00241D0D">
        <w:rPr>
          <w:i/>
          <w:lang w:val="en-US"/>
        </w:rPr>
        <w:t>French History</w:t>
      </w:r>
      <w:r w:rsidR="00C410F5">
        <w:rPr>
          <w:lang w:val="en-US"/>
        </w:rPr>
        <w:t xml:space="preserve"> 2:</w:t>
      </w:r>
      <w:r w:rsidRPr="00241D0D">
        <w:rPr>
          <w:lang w:val="en-US"/>
        </w:rPr>
        <w:t xml:space="preserve">2, 131-151. </w:t>
      </w:r>
      <w:r>
        <w:rPr>
          <w:lang w:val="en-US"/>
        </w:rPr>
        <w:t xml:space="preserve">(Reprint in </w:t>
      </w:r>
      <w:r w:rsidRPr="00B640B3">
        <w:rPr>
          <w:i/>
          <w:lang w:val="en-US"/>
        </w:rPr>
        <w:t>Patronage in Sixteenth- and Seventeenth-Century France</w:t>
      </w:r>
      <w:r>
        <w:rPr>
          <w:i/>
          <w:lang w:val="en-US"/>
        </w:rPr>
        <w:t>).</w:t>
      </w:r>
    </w:p>
    <w:p w:rsidR="00A14984" w:rsidRDefault="00A14984" w:rsidP="00A14984">
      <w:pPr>
        <w:rPr>
          <w:lang w:val="en-US"/>
        </w:rPr>
      </w:pPr>
    </w:p>
    <w:p w:rsidR="00A14984" w:rsidRPr="00B640B3" w:rsidRDefault="00A14984" w:rsidP="00A14984">
      <w:pPr>
        <w:rPr>
          <w:lang w:val="en-US"/>
        </w:rPr>
      </w:pPr>
      <w:r w:rsidRPr="00B640B3">
        <w:rPr>
          <w:lang w:val="en-US"/>
        </w:rPr>
        <w:t>Kettering, Sharon</w:t>
      </w:r>
      <w:r w:rsidR="00A236E2">
        <w:rPr>
          <w:lang w:val="en-US"/>
        </w:rPr>
        <w:t xml:space="preserve"> </w:t>
      </w:r>
      <w:r w:rsidR="00A236E2" w:rsidRPr="00A236E2">
        <w:rPr>
          <w:lang w:val="en-US"/>
        </w:rPr>
        <w:t>(1992)</w:t>
      </w:r>
      <w:r w:rsidRPr="00B640B3">
        <w:rPr>
          <w:lang w:val="en-US"/>
        </w:rPr>
        <w:t xml:space="preserve">: „Patronage in Early Modern France“, </w:t>
      </w:r>
      <w:r w:rsidRPr="00B640B3">
        <w:rPr>
          <w:i/>
          <w:lang w:val="en-US"/>
        </w:rPr>
        <w:t>French Historical Studies</w:t>
      </w:r>
      <w:r w:rsidRPr="00B640B3">
        <w:rPr>
          <w:lang w:val="en-US"/>
        </w:rPr>
        <w:t xml:space="preserve"> 17,4, 839-862</w:t>
      </w:r>
      <w:r>
        <w:rPr>
          <w:lang w:val="en-US"/>
        </w:rPr>
        <w:t xml:space="preserve">. (Reprint in </w:t>
      </w:r>
      <w:r w:rsidRPr="00B640B3">
        <w:rPr>
          <w:i/>
          <w:lang w:val="en-US"/>
        </w:rPr>
        <w:t>Patronage in Sixteenth- and Seventeenth-Century France</w:t>
      </w:r>
      <w:r>
        <w:rPr>
          <w:i/>
          <w:lang w:val="en-US"/>
        </w:rPr>
        <w:t>).</w:t>
      </w:r>
    </w:p>
    <w:p w:rsidR="00A14984" w:rsidRPr="00B640B3" w:rsidRDefault="00A14984" w:rsidP="00A14984">
      <w:pPr>
        <w:rPr>
          <w:lang w:val="en-US"/>
        </w:rPr>
      </w:pPr>
    </w:p>
    <w:p w:rsidR="00A14984" w:rsidRPr="00B640B3" w:rsidRDefault="00A14984" w:rsidP="00A14984">
      <w:pPr>
        <w:rPr>
          <w:lang w:val="en-US"/>
        </w:rPr>
      </w:pPr>
      <w:r w:rsidRPr="00B640B3">
        <w:rPr>
          <w:lang w:val="en-US"/>
        </w:rPr>
        <w:t>Kettering, Sharon</w:t>
      </w:r>
      <w:r w:rsidR="00A236E2">
        <w:rPr>
          <w:lang w:val="en-US"/>
        </w:rPr>
        <w:t xml:space="preserve"> (</w:t>
      </w:r>
      <w:r w:rsidR="00A236E2" w:rsidRPr="00A236E2">
        <w:rPr>
          <w:lang w:val="en-US"/>
        </w:rPr>
        <w:t>2002</w:t>
      </w:r>
      <w:r w:rsidR="00A236E2">
        <w:rPr>
          <w:lang w:val="en-US"/>
        </w:rPr>
        <w:t>)</w:t>
      </w:r>
      <w:r w:rsidRPr="00B640B3">
        <w:rPr>
          <w:lang w:val="en-US"/>
        </w:rPr>
        <w:t xml:space="preserve">: </w:t>
      </w:r>
      <w:r w:rsidRPr="00B640B3">
        <w:rPr>
          <w:i/>
          <w:lang w:val="en-US"/>
        </w:rPr>
        <w:t>Patronage in Sixteenth- and Seventeenth-Century France,</w:t>
      </w:r>
      <w:r w:rsidRPr="00B640B3">
        <w:rPr>
          <w:lang w:val="en-US"/>
        </w:rPr>
        <w:t xml:space="preserve"> </w:t>
      </w:r>
      <w:proofErr w:type="spellStart"/>
      <w:r w:rsidRPr="00B640B3">
        <w:rPr>
          <w:lang w:val="en-US"/>
        </w:rPr>
        <w:t>Aldershot</w:t>
      </w:r>
      <w:proofErr w:type="spellEnd"/>
      <w:r w:rsidRPr="00B640B3">
        <w:rPr>
          <w:lang w:val="en-US"/>
        </w:rPr>
        <w:t xml:space="preserve"> et al.: </w:t>
      </w:r>
      <w:proofErr w:type="spellStart"/>
      <w:r w:rsidRPr="00B640B3">
        <w:rPr>
          <w:lang w:val="en-US"/>
        </w:rPr>
        <w:t>Ashgate</w:t>
      </w:r>
      <w:proofErr w:type="spellEnd"/>
      <w:r w:rsidRPr="00B640B3">
        <w:rPr>
          <w:lang w:val="en-US"/>
        </w:rPr>
        <w:t>/Variorum.</w:t>
      </w:r>
    </w:p>
    <w:p w:rsidR="00A14984" w:rsidRPr="00B640B3" w:rsidRDefault="00A14984" w:rsidP="00A14984">
      <w:pPr>
        <w:rPr>
          <w:lang w:val="en-US"/>
        </w:rPr>
      </w:pPr>
    </w:p>
    <w:p w:rsidR="00A14984" w:rsidRPr="00A95A03" w:rsidRDefault="00A14984" w:rsidP="00A14984">
      <w:pPr>
        <w:rPr>
          <w:lang w:val="en-US"/>
        </w:rPr>
      </w:pPr>
      <w:proofErr w:type="spellStart"/>
      <w:r w:rsidRPr="000D42AA">
        <w:rPr>
          <w:lang w:val="en-US"/>
        </w:rPr>
        <w:t>Köhle</w:t>
      </w:r>
      <w:proofErr w:type="spellEnd"/>
      <w:r w:rsidRPr="000D42AA">
        <w:rPr>
          <w:lang w:val="en-US"/>
        </w:rPr>
        <w:t>, Natalie</w:t>
      </w:r>
      <w:r w:rsidR="00A236E2">
        <w:rPr>
          <w:lang w:val="en-US"/>
        </w:rPr>
        <w:t xml:space="preserve"> (2008)</w:t>
      </w:r>
      <w:r w:rsidRPr="000D42AA">
        <w:rPr>
          <w:lang w:val="en-US"/>
        </w:rPr>
        <w:t xml:space="preserve">: “Why Did the Kangxi </w:t>
      </w:r>
      <w:r w:rsidRPr="00A236E2">
        <w:rPr>
          <w:rStyle w:val="Hyperlink"/>
          <w:color w:val="auto"/>
          <w:u w:val="none"/>
          <w:lang w:val="en-US"/>
        </w:rPr>
        <w:t>Emperor</w:t>
      </w:r>
      <w:r w:rsidRPr="00A95A03">
        <w:rPr>
          <w:lang w:val="en-US"/>
        </w:rPr>
        <w:t xml:space="preserve"> Go to Wutai Shan?: Patronage, Pilgrimage, and the Place of Tibetan Buddhism at the Early Qing Court”, </w:t>
      </w:r>
      <w:hyperlink r:id="rId9" w:history="1">
        <w:r w:rsidRPr="00A95A03">
          <w:rPr>
            <w:rStyle w:val="Hyperlink"/>
            <w:i/>
            <w:color w:val="auto"/>
            <w:u w:val="none"/>
            <w:lang w:val="en-US"/>
          </w:rPr>
          <w:t>Late Imperial China</w:t>
        </w:r>
      </w:hyperlink>
      <w:r w:rsidRPr="00A95A03">
        <w:rPr>
          <w:lang w:val="en-US"/>
        </w:rPr>
        <w:t xml:space="preserve"> </w:t>
      </w:r>
      <w:hyperlink r:id="rId10" w:history="1">
        <w:r w:rsidR="00C410F5">
          <w:rPr>
            <w:rStyle w:val="Hyperlink"/>
            <w:color w:val="auto"/>
            <w:u w:val="none"/>
            <w:lang w:val="en-US"/>
          </w:rPr>
          <w:t>29:</w:t>
        </w:r>
        <w:r w:rsidRPr="00A95A03">
          <w:rPr>
            <w:rStyle w:val="Hyperlink"/>
            <w:color w:val="auto"/>
            <w:u w:val="none"/>
            <w:lang w:val="en-US"/>
          </w:rPr>
          <w:t>1</w:t>
        </w:r>
      </w:hyperlink>
      <w:r w:rsidR="00A236E2">
        <w:rPr>
          <w:rStyle w:val="Hyperlink"/>
          <w:color w:val="auto"/>
          <w:u w:val="none"/>
          <w:lang w:val="en-US"/>
        </w:rPr>
        <w:t>,</w:t>
      </w:r>
      <w:r w:rsidRPr="00A95A03">
        <w:rPr>
          <w:lang w:val="en-US"/>
        </w:rPr>
        <w:t xml:space="preserve"> 73-119.</w:t>
      </w:r>
    </w:p>
    <w:p w:rsidR="00683E1A" w:rsidRPr="00A95A03" w:rsidRDefault="00683E1A" w:rsidP="00A14984">
      <w:pPr>
        <w:rPr>
          <w:lang w:val="en-US"/>
        </w:rPr>
      </w:pPr>
    </w:p>
    <w:p w:rsidR="00683E1A" w:rsidRPr="00BE19E8" w:rsidRDefault="00683E1A" w:rsidP="00A14984">
      <w:r w:rsidRPr="00BE19E8">
        <w:t>Kollmar-</w:t>
      </w:r>
      <w:proofErr w:type="spellStart"/>
      <w:r w:rsidRPr="00BE19E8">
        <w:t>Paulenz</w:t>
      </w:r>
      <w:proofErr w:type="spellEnd"/>
      <w:r w:rsidRPr="00BE19E8">
        <w:t xml:space="preserve">, </w:t>
      </w:r>
      <w:proofErr w:type="spellStart"/>
      <w:r w:rsidRPr="00BE19E8">
        <w:t>Karénina</w:t>
      </w:r>
      <w:proofErr w:type="spellEnd"/>
      <w:r w:rsidR="00A236E2" w:rsidRPr="00BE19E8">
        <w:t xml:space="preserve"> (2005)</w:t>
      </w:r>
      <w:r w:rsidRPr="00BE19E8">
        <w:t xml:space="preserve">: “Zwischen </w:t>
      </w:r>
      <w:proofErr w:type="spellStart"/>
      <w:r w:rsidRPr="00BE19E8">
        <w:t>Činggis</w:t>
      </w:r>
      <w:proofErr w:type="spellEnd"/>
      <w:r w:rsidRPr="00BE19E8">
        <w:t xml:space="preserve"> </w:t>
      </w:r>
      <w:proofErr w:type="spellStart"/>
      <w:r w:rsidRPr="00BE19E8">
        <w:t>Qan</w:t>
      </w:r>
      <w:proofErr w:type="spellEnd"/>
      <w:r w:rsidRPr="00BE19E8">
        <w:t xml:space="preserve"> und </w:t>
      </w:r>
      <w:proofErr w:type="spellStart"/>
      <w:r w:rsidRPr="00BE19E8">
        <w:t>Vajrapani</w:t>
      </w:r>
      <w:proofErr w:type="spellEnd"/>
      <w:r w:rsidRPr="00BE19E8">
        <w:t xml:space="preserve">. Religiöse Identität und Geschichtsschreibung bei den Mongolen“, </w:t>
      </w:r>
      <w:r w:rsidR="00506853" w:rsidRPr="00BE19E8">
        <w:t xml:space="preserve">in: </w:t>
      </w:r>
      <w:r w:rsidR="00506853" w:rsidRPr="00BE19E8">
        <w:rPr>
          <w:i/>
          <w:iCs/>
        </w:rPr>
        <w:t>Religionskonflikte – Religiöse Identität</w:t>
      </w:r>
      <w:r w:rsidR="00506853" w:rsidRPr="00BE19E8">
        <w:t xml:space="preserve">, (Mitteilungen für Anthropologie und Religionsgeschichte, 17), Münster: </w:t>
      </w:r>
      <w:proofErr w:type="spellStart"/>
      <w:r w:rsidR="00506853" w:rsidRPr="00BE19E8">
        <w:t>Ugarit</w:t>
      </w:r>
      <w:proofErr w:type="spellEnd"/>
      <w:r w:rsidR="00506853" w:rsidRPr="00BE19E8">
        <w:t>-Verlag, 199-216.</w:t>
      </w:r>
    </w:p>
    <w:p w:rsidR="00683E1A" w:rsidRPr="00BE19E8" w:rsidRDefault="00683E1A" w:rsidP="00A14984"/>
    <w:p w:rsidR="00816D44" w:rsidRPr="00BE19E8" w:rsidRDefault="00816D44" w:rsidP="00816D44">
      <w:pPr>
        <w:rPr>
          <w:lang w:val="en-US"/>
        </w:rPr>
      </w:pPr>
      <w:proofErr w:type="spellStart"/>
      <w:r w:rsidRPr="00BE19E8">
        <w:rPr>
          <w:lang w:val="en-US"/>
        </w:rPr>
        <w:t>Komter</w:t>
      </w:r>
      <w:proofErr w:type="spellEnd"/>
      <w:r w:rsidRPr="00BE19E8">
        <w:rPr>
          <w:lang w:val="en-US"/>
        </w:rPr>
        <w:t xml:space="preserve">, </w:t>
      </w:r>
      <w:proofErr w:type="spellStart"/>
      <w:r w:rsidRPr="00BE19E8">
        <w:rPr>
          <w:lang w:val="en-US"/>
        </w:rPr>
        <w:t>Aafke</w:t>
      </w:r>
      <w:proofErr w:type="spellEnd"/>
      <w:r w:rsidRPr="00BE19E8">
        <w:rPr>
          <w:lang w:val="en-US"/>
        </w:rPr>
        <w:t xml:space="preserve"> E. (1996): </w:t>
      </w:r>
      <w:r w:rsidRPr="00BE19E8">
        <w:rPr>
          <w:i/>
          <w:iCs/>
          <w:lang w:val="en-US"/>
        </w:rPr>
        <w:t>The Gift. An Interdisciplinary Perspective</w:t>
      </w:r>
      <w:r w:rsidRPr="00BE19E8">
        <w:rPr>
          <w:lang w:val="en-US"/>
        </w:rPr>
        <w:t>, Amsterdam: Amsterdam University Press.</w:t>
      </w:r>
    </w:p>
    <w:p w:rsidR="00816D44" w:rsidRPr="00BE19E8" w:rsidRDefault="00816D44" w:rsidP="00816D44">
      <w:pPr>
        <w:rPr>
          <w:lang w:val="en-US"/>
        </w:rPr>
      </w:pPr>
    </w:p>
    <w:p w:rsidR="00E37085" w:rsidRPr="00BE19E8" w:rsidRDefault="00E37085" w:rsidP="00476F68">
      <w:pPr>
        <w:rPr>
          <w:lang w:val="en-US"/>
        </w:rPr>
      </w:pPr>
      <w:proofErr w:type="spellStart"/>
      <w:r w:rsidRPr="00BE19E8">
        <w:rPr>
          <w:lang w:val="en-US"/>
        </w:rPr>
        <w:t>Komter</w:t>
      </w:r>
      <w:proofErr w:type="spellEnd"/>
      <w:r w:rsidRPr="00BE19E8">
        <w:rPr>
          <w:lang w:val="en-US"/>
        </w:rPr>
        <w:t xml:space="preserve">, </w:t>
      </w:r>
      <w:proofErr w:type="spellStart"/>
      <w:r w:rsidRPr="00BE19E8">
        <w:rPr>
          <w:lang w:val="en-US"/>
        </w:rPr>
        <w:t>Aafke</w:t>
      </w:r>
      <w:proofErr w:type="spellEnd"/>
      <w:r w:rsidRPr="00BE19E8">
        <w:rPr>
          <w:lang w:val="en-US"/>
        </w:rPr>
        <w:t xml:space="preserve"> E. (2005): </w:t>
      </w:r>
      <w:r w:rsidRPr="00BE19E8">
        <w:rPr>
          <w:i/>
          <w:iCs/>
          <w:lang w:val="en-US"/>
        </w:rPr>
        <w:t>Social Solidarity and the Gift</w:t>
      </w:r>
      <w:r w:rsidR="00125E3D" w:rsidRPr="00BE19E8">
        <w:rPr>
          <w:lang w:val="en-US"/>
        </w:rPr>
        <w:t>, Cambridge et al.: Cambridge University Press.</w:t>
      </w:r>
    </w:p>
    <w:p w:rsidR="00125E3D" w:rsidRPr="00BE19E8" w:rsidRDefault="00125E3D" w:rsidP="00476F68">
      <w:pPr>
        <w:rPr>
          <w:lang w:val="en-US"/>
        </w:rPr>
      </w:pPr>
    </w:p>
    <w:p w:rsidR="00476F68" w:rsidRPr="00BE19E8" w:rsidRDefault="00476F68" w:rsidP="00476F68">
      <w:pPr>
        <w:rPr>
          <w:lang w:val="en-US"/>
        </w:rPr>
      </w:pPr>
      <w:proofErr w:type="spellStart"/>
      <w:r w:rsidRPr="00BE19E8">
        <w:rPr>
          <w:lang w:val="en-US"/>
        </w:rPr>
        <w:t>Krausman</w:t>
      </w:r>
      <w:proofErr w:type="spellEnd"/>
      <w:r w:rsidRPr="00BE19E8">
        <w:rPr>
          <w:lang w:val="en-US"/>
        </w:rPr>
        <w:t xml:space="preserve"> Ben-Amos, Ilana (2008): </w:t>
      </w:r>
      <w:r w:rsidRPr="00BE19E8">
        <w:rPr>
          <w:i/>
          <w:iCs/>
          <w:lang w:val="en-US"/>
        </w:rPr>
        <w:t>The Culture of Giving. Informal Support and Gift-Exchange in Early Modern England</w:t>
      </w:r>
      <w:r w:rsidRPr="00BE19E8">
        <w:rPr>
          <w:lang w:val="en-US"/>
        </w:rPr>
        <w:t>, Cambridge, New York: Cambridge University Press.</w:t>
      </w:r>
    </w:p>
    <w:p w:rsidR="00476F68" w:rsidRPr="00BE19E8" w:rsidRDefault="00476F68" w:rsidP="00A14984">
      <w:pPr>
        <w:rPr>
          <w:lang w:val="en-US"/>
        </w:rPr>
      </w:pPr>
    </w:p>
    <w:p w:rsidR="00A14984" w:rsidRDefault="00A14984" w:rsidP="00A14984">
      <w:pPr>
        <w:rPr>
          <w:lang w:val="en-US"/>
        </w:rPr>
      </w:pPr>
      <w:proofErr w:type="spellStart"/>
      <w:r w:rsidRPr="00BE19E8">
        <w:rPr>
          <w:lang w:val="en-US"/>
        </w:rPr>
        <w:t>Mauss</w:t>
      </w:r>
      <w:proofErr w:type="spellEnd"/>
      <w:r w:rsidRPr="00D104BA">
        <w:rPr>
          <w:lang w:val="en-US"/>
        </w:rPr>
        <w:t>, Marcel</w:t>
      </w:r>
      <w:r w:rsidR="00A236E2">
        <w:rPr>
          <w:lang w:val="en-US"/>
        </w:rPr>
        <w:t xml:space="preserve"> (</w:t>
      </w:r>
      <w:r w:rsidR="00A236E2" w:rsidRPr="00A236E2">
        <w:rPr>
          <w:lang w:val="en-US"/>
        </w:rPr>
        <w:t>2002</w:t>
      </w:r>
      <w:r w:rsidR="00A236E2">
        <w:rPr>
          <w:lang w:val="en-US"/>
        </w:rPr>
        <w:t>)</w:t>
      </w:r>
      <w:r w:rsidRPr="00D104BA">
        <w:rPr>
          <w:lang w:val="en-US"/>
        </w:rPr>
        <w:t xml:space="preserve">: </w:t>
      </w:r>
      <w:r w:rsidRPr="00D104BA">
        <w:rPr>
          <w:i/>
          <w:lang w:val="en-US"/>
        </w:rPr>
        <w:t xml:space="preserve">The Gift. </w:t>
      </w:r>
      <w:r w:rsidRPr="00EA349D">
        <w:rPr>
          <w:i/>
          <w:lang w:val="en-US"/>
        </w:rPr>
        <w:t>The Form and Reason for Exchange in Archaic Societies</w:t>
      </w:r>
      <w:r w:rsidR="00A236E2">
        <w:rPr>
          <w:lang w:val="en-US"/>
        </w:rPr>
        <w:t>,</w:t>
      </w:r>
      <w:r>
        <w:rPr>
          <w:lang w:val="en-US"/>
        </w:rPr>
        <w:t xml:space="preserve"> London, New York: Routledge.</w:t>
      </w:r>
    </w:p>
    <w:p w:rsidR="00A1464A" w:rsidRDefault="00A1464A" w:rsidP="00A14984">
      <w:pPr>
        <w:rPr>
          <w:lang w:val="en-US"/>
        </w:rPr>
      </w:pPr>
    </w:p>
    <w:p w:rsidR="00A14984" w:rsidRPr="00200BD1" w:rsidRDefault="00A14984" w:rsidP="00A14984">
      <w:pPr>
        <w:rPr>
          <w:lang w:val="en-US"/>
        </w:rPr>
      </w:pPr>
      <w:proofErr w:type="spellStart"/>
      <w:r w:rsidRPr="00200BD1">
        <w:rPr>
          <w:lang w:val="en-US"/>
        </w:rPr>
        <w:t>Millward</w:t>
      </w:r>
      <w:proofErr w:type="spellEnd"/>
      <w:r w:rsidRPr="00200BD1">
        <w:rPr>
          <w:lang w:val="en-US"/>
        </w:rPr>
        <w:t>, James A.</w:t>
      </w:r>
      <w:r w:rsidR="00A236E2">
        <w:rPr>
          <w:lang w:val="en-US"/>
        </w:rPr>
        <w:t xml:space="preserve"> (</w:t>
      </w:r>
      <w:r w:rsidR="00A236E2" w:rsidRPr="00A236E2">
        <w:rPr>
          <w:lang w:val="en-US"/>
        </w:rPr>
        <w:t>2004</w:t>
      </w:r>
      <w:r w:rsidR="00A236E2">
        <w:rPr>
          <w:lang w:val="en-US"/>
        </w:rPr>
        <w:t>)</w:t>
      </w:r>
      <w:r w:rsidRPr="00200BD1">
        <w:rPr>
          <w:lang w:val="en-US"/>
        </w:rPr>
        <w:t xml:space="preserve">: “Qing Inner Asian Empire and the Return of the </w:t>
      </w:r>
      <w:proofErr w:type="spellStart"/>
      <w:r w:rsidRPr="00200BD1">
        <w:rPr>
          <w:lang w:val="en-US"/>
        </w:rPr>
        <w:t>Torghuts</w:t>
      </w:r>
      <w:proofErr w:type="spellEnd"/>
      <w:r w:rsidRPr="00200BD1">
        <w:rPr>
          <w:lang w:val="en-US"/>
        </w:rPr>
        <w:t xml:space="preserve">”, in: </w:t>
      </w:r>
      <w:r w:rsidRPr="00200BD1">
        <w:rPr>
          <w:i/>
          <w:lang w:val="en-US"/>
        </w:rPr>
        <w:t>New Qing Imperial History. The Making of Inner Asian Empire at Qing Chengde</w:t>
      </w:r>
      <w:r w:rsidRPr="00200BD1">
        <w:rPr>
          <w:lang w:val="en-US"/>
        </w:rPr>
        <w:t xml:space="preserve">, edited by James A. </w:t>
      </w:r>
      <w:proofErr w:type="spellStart"/>
      <w:r w:rsidRPr="00200BD1">
        <w:rPr>
          <w:lang w:val="en-US"/>
        </w:rPr>
        <w:t>Millward</w:t>
      </w:r>
      <w:proofErr w:type="spellEnd"/>
      <w:r w:rsidRPr="00200BD1">
        <w:rPr>
          <w:lang w:val="en-US"/>
        </w:rPr>
        <w:t xml:space="preserve"> et al., London, New York: Routledge, 91-105.</w:t>
      </w:r>
    </w:p>
    <w:p w:rsidR="00A14984" w:rsidRDefault="00A14984" w:rsidP="00A14984">
      <w:pPr>
        <w:rPr>
          <w:lang w:val="en-US"/>
        </w:rPr>
      </w:pPr>
    </w:p>
    <w:p w:rsidR="00A14984" w:rsidRPr="00C410F5" w:rsidRDefault="00A14984" w:rsidP="00A14984">
      <w:pPr>
        <w:pStyle w:val="Literatur"/>
        <w:rPr>
          <w:rFonts w:cs="Times New Roman"/>
          <w:lang w:val="en-US"/>
        </w:rPr>
      </w:pPr>
      <w:r w:rsidRPr="00E37085">
        <w:rPr>
          <w:rFonts w:cs="Times New Roman"/>
          <w:i/>
          <w:iCs/>
        </w:rPr>
        <w:t>Mong</w:t>
      </w:r>
      <w:r w:rsidRPr="00200BD1">
        <w:rPr>
          <w:rFonts w:cs="Times New Roman"/>
          <w:i/>
          <w:iCs/>
        </w:rPr>
        <w:t>γ</w:t>
      </w:r>
      <w:r w:rsidRPr="00E37085">
        <w:rPr>
          <w:rFonts w:cs="Times New Roman"/>
          <w:i/>
          <w:iCs/>
        </w:rPr>
        <w:t>ol dangse ebkemel-ün emkidkel.</w:t>
      </w:r>
      <w:r w:rsidRPr="00E37085">
        <w:rPr>
          <w:rFonts w:cs="Times New Roman"/>
        </w:rPr>
        <w:t xml:space="preserve"> Full title: </w:t>
      </w:r>
      <w:r w:rsidRPr="00E37085">
        <w:rPr>
          <w:rFonts w:cs="Times New Roman"/>
          <w:i/>
          <w:iCs/>
        </w:rPr>
        <w:t>Čing ulus-un doto</w:t>
      </w:r>
      <w:r w:rsidRPr="00200BD1">
        <w:rPr>
          <w:rFonts w:cs="Times New Roman"/>
          <w:i/>
          <w:iCs/>
        </w:rPr>
        <w:t>γ</w:t>
      </w:r>
      <w:r w:rsidRPr="00E37085">
        <w:rPr>
          <w:rFonts w:cs="Times New Roman"/>
          <w:i/>
          <w:iCs/>
        </w:rPr>
        <w:t>adu narin bičig-ün yamun-u Mong</w:t>
      </w:r>
      <w:r w:rsidRPr="00200BD1">
        <w:rPr>
          <w:rFonts w:cs="Times New Roman"/>
          <w:i/>
          <w:iCs/>
        </w:rPr>
        <w:t>γ</w:t>
      </w:r>
      <w:r w:rsidRPr="00E37085">
        <w:rPr>
          <w:rFonts w:cs="Times New Roman"/>
          <w:i/>
          <w:iCs/>
        </w:rPr>
        <w:t>ol dangse ebkemel-ün emkidkel / Qing nei mishuyuan mengguwen dang‘an huibian</w:t>
      </w:r>
      <w:r w:rsidRPr="00E37085">
        <w:rPr>
          <w:rFonts w:cs="Times New Roman"/>
        </w:rPr>
        <w:t xml:space="preserve"> </w:t>
      </w:r>
      <w:r w:rsidRPr="00200BD1">
        <w:rPr>
          <w:rFonts w:cs="Times New Roman"/>
        </w:rPr>
        <w:t>清内秘</w:t>
      </w:r>
      <w:r w:rsidRPr="00200BD1">
        <w:rPr>
          <w:rFonts w:eastAsia="MingLiU" w:hAnsi="MingLiU" w:cs="Times New Roman"/>
        </w:rPr>
        <w:t>书</w:t>
      </w:r>
      <w:r w:rsidRPr="00200BD1">
        <w:rPr>
          <w:rFonts w:hAnsi="Cambria Math" w:cs="Times New Roman"/>
        </w:rPr>
        <w:t>院蒙古文档案</w:t>
      </w:r>
      <w:r w:rsidRPr="00200BD1">
        <w:rPr>
          <w:rFonts w:eastAsia="MingLiU" w:hAnsi="MingLiU" w:cs="Times New Roman"/>
        </w:rPr>
        <w:t>汇编</w:t>
      </w:r>
      <w:r w:rsidR="00A236E2" w:rsidRPr="00E37085">
        <w:rPr>
          <w:rFonts w:eastAsia="MingLiU" w:hAnsi="MingLiU" w:cs="Times New Roman"/>
        </w:rPr>
        <w:t xml:space="preserve"> (</w:t>
      </w:r>
      <w:r w:rsidR="00A236E2" w:rsidRPr="00E37085">
        <w:rPr>
          <w:rFonts w:eastAsia="MingLiU" w:cs="Times New Roman"/>
        </w:rPr>
        <w:t>2003)</w:t>
      </w:r>
      <w:r w:rsidRPr="00E37085">
        <w:rPr>
          <w:rFonts w:cs="Times New Roman"/>
        </w:rPr>
        <w:t>, edited by Čimeddorǰi</w:t>
      </w:r>
      <w:r w:rsidR="00AB4CD3" w:rsidRPr="00E37085">
        <w:rPr>
          <w:rFonts w:cs="Times New Roman"/>
        </w:rPr>
        <w:t xml:space="preserve"> et al.</w:t>
      </w:r>
      <w:r w:rsidRPr="00E37085">
        <w:rPr>
          <w:rFonts w:cs="Times New Roman"/>
        </w:rPr>
        <w:t xml:space="preserve">, 7 vols. </w:t>
      </w:r>
      <w:r w:rsidRPr="00C410F5">
        <w:rPr>
          <w:rFonts w:cs="Times New Roman"/>
          <w:lang w:val="en-US"/>
        </w:rPr>
        <w:t>Hohhot: Neimenggu renmin chubanshe.</w:t>
      </w:r>
    </w:p>
    <w:p w:rsidR="00A14984" w:rsidRPr="00C410F5" w:rsidRDefault="00A14984" w:rsidP="00A14984">
      <w:pPr>
        <w:rPr>
          <w:lang w:val="en-US"/>
        </w:rPr>
      </w:pPr>
    </w:p>
    <w:p w:rsidR="0083338D" w:rsidRPr="00BE19E8" w:rsidRDefault="0083338D" w:rsidP="00A14984">
      <w:pPr>
        <w:pStyle w:val="Funotentext"/>
        <w:rPr>
          <w:sz w:val="24"/>
          <w:szCs w:val="24"/>
          <w:lang w:val="en-US"/>
        </w:rPr>
      </w:pPr>
      <w:r w:rsidRPr="00BE19E8">
        <w:rPr>
          <w:sz w:val="24"/>
          <w:szCs w:val="24"/>
          <w:lang w:val="en-US"/>
        </w:rPr>
        <w:t>Newbury, Colin</w:t>
      </w:r>
      <w:r w:rsidR="00A236E2" w:rsidRPr="00BE19E8">
        <w:rPr>
          <w:sz w:val="24"/>
          <w:szCs w:val="24"/>
          <w:lang w:val="en-US"/>
        </w:rPr>
        <w:t xml:space="preserve"> (2003)</w:t>
      </w:r>
      <w:r w:rsidRPr="00BE19E8">
        <w:rPr>
          <w:sz w:val="24"/>
          <w:szCs w:val="24"/>
          <w:lang w:val="en-US"/>
        </w:rPr>
        <w:t xml:space="preserve">: </w:t>
      </w:r>
      <w:r w:rsidRPr="00BE19E8">
        <w:rPr>
          <w:i/>
          <w:iCs/>
          <w:sz w:val="24"/>
          <w:szCs w:val="24"/>
          <w:lang w:val="en-US"/>
        </w:rPr>
        <w:t>Patrons, Clients, and Empire. Chieftaincy and Over-rule in Asia, Africa, and the Pacific</w:t>
      </w:r>
      <w:r w:rsidRPr="00BE19E8">
        <w:rPr>
          <w:sz w:val="24"/>
          <w:szCs w:val="24"/>
          <w:lang w:val="en-US"/>
        </w:rPr>
        <w:t>, Oxford, New York: Oxford University Press.</w:t>
      </w:r>
    </w:p>
    <w:p w:rsidR="0083338D" w:rsidRPr="00BE19E8" w:rsidRDefault="0083338D" w:rsidP="00A14984">
      <w:pPr>
        <w:pStyle w:val="Funotentext"/>
        <w:rPr>
          <w:sz w:val="24"/>
          <w:szCs w:val="24"/>
          <w:lang w:val="en-US"/>
        </w:rPr>
      </w:pPr>
    </w:p>
    <w:p w:rsidR="00A14984" w:rsidRPr="00BE19E8" w:rsidRDefault="006A6901" w:rsidP="00A14984">
      <w:pPr>
        <w:pStyle w:val="Funotentext"/>
        <w:rPr>
          <w:sz w:val="24"/>
          <w:szCs w:val="24"/>
          <w:lang w:val="en-US"/>
        </w:rPr>
      </w:pPr>
      <w:proofErr w:type="spellStart"/>
      <w:r w:rsidRPr="00BE19E8">
        <w:rPr>
          <w:sz w:val="24"/>
          <w:szCs w:val="24"/>
          <w:lang w:val="en-US"/>
        </w:rPr>
        <w:t>Oy</w:t>
      </w:r>
      <w:r w:rsidR="00A14984" w:rsidRPr="00BE19E8">
        <w:rPr>
          <w:sz w:val="24"/>
          <w:szCs w:val="24"/>
          <w:lang w:val="en-US"/>
        </w:rPr>
        <w:t>un</w:t>
      </w:r>
      <w:r w:rsidRPr="00BE19E8">
        <w:rPr>
          <w:sz w:val="24"/>
          <w:szCs w:val="24"/>
          <w:lang w:val="en-US"/>
        </w:rPr>
        <w:t>j</w:t>
      </w:r>
      <w:r w:rsidR="00A14984" w:rsidRPr="00BE19E8">
        <w:rPr>
          <w:sz w:val="24"/>
          <w:szCs w:val="24"/>
          <w:lang w:val="en-US"/>
        </w:rPr>
        <w:t>argal</w:t>
      </w:r>
      <w:proofErr w:type="spellEnd"/>
      <w:r w:rsidR="00A14984" w:rsidRPr="00BE19E8">
        <w:rPr>
          <w:sz w:val="24"/>
          <w:szCs w:val="24"/>
          <w:lang w:val="en-US"/>
        </w:rPr>
        <w:t>,</w:t>
      </w:r>
      <w:r w:rsidR="001D1823" w:rsidRPr="00BE19E8">
        <w:rPr>
          <w:sz w:val="24"/>
          <w:szCs w:val="24"/>
          <w:lang w:val="en-US"/>
        </w:rPr>
        <w:t xml:space="preserve"> </w:t>
      </w:r>
      <w:proofErr w:type="spellStart"/>
      <w:r w:rsidR="001D1823" w:rsidRPr="00BE19E8">
        <w:rPr>
          <w:sz w:val="24"/>
          <w:szCs w:val="24"/>
          <w:lang w:val="en-US"/>
        </w:rPr>
        <w:t>Och</w:t>
      </w:r>
      <w:r w:rsidR="00A14984" w:rsidRPr="00BE19E8">
        <w:rPr>
          <w:sz w:val="24"/>
          <w:szCs w:val="24"/>
          <w:lang w:val="en-US"/>
        </w:rPr>
        <w:t>iryn</w:t>
      </w:r>
      <w:proofErr w:type="spellEnd"/>
      <w:r w:rsidR="00A236E2" w:rsidRPr="00BE19E8">
        <w:rPr>
          <w:sz w:val="24"/>
          <w:szCs w:val="24"/>
          <w:lang w:val="en-US"/>
        </w:rPr>
        <w:t xml:space="preserve"> (2011)</w:t>
      </w:r>
      <w:r w:rsidR="00A14984" w:rsidRPr="00BE19E8">
        <w:rPr>
          <w:sz w:val="24"/>
          <w:szCs w:val="24"/>
          <w:lang w:val="en-US"/>
        </w:rPr>
        <w:t xml:space="preserve">: </w:t>
      </w:r>
      <w:proofErr w:type="spellStart"/>
      <w:r w:rsidR="001D1823" w:rsidRPr="00BE19E8">
        <w:rPr>
          <w:i/>
          <w:iCs/>
          <w:sz w:val="24"/>
          <w:szCs w:val="24"/>
          <w:lang w:val="en-US"/>
        </w:rPr>
        <w:t>Manj</w:t>
      </w:r>
      <w:proofErr w:type="spellEnd"/>
      <w:r w:rsidR="001D1823" w:rsidRPr="00BE19E8">
        <w:rPr>
          <w:i/>
          <w:iCs/>
          <w:sz w:val="24"/>
          <w:szCs w:val="24"/>
          <w:lang w:val="en-US"/>
        </w:rPr>
        <w:t xml:space="preserve"> Chin </w:t>
      </w:r>
      <w:proofErr w:type="spellStart"/>
      <w:r w:rsidR="001D1823" w:rsidRPr="00BE19E8">
        <w:rPr>
          <w:i/>
          <w:iCs/>
          <w:sz w:val="24"/>
          <w:szCs w:val="24"/>
          <w:lang w:val="en-US"/>
        </w:rPr>
        <w:t>ulsaas</w:t>
      </w:r>
      <w:proofErr w:type="spellEnd"/>
      <w:r w:rsidR="001D1823" w:rsidRPr="00BE19E8">
        <w:rPr>
          <w:i/>
          <w:iCs/>
          <w:sz w:val="24"/>
          <w:szCs w:val="24"/>
          <w:lang w:val="en-US"/>
        </w:rPr>
        <w:t xml:space="preserve"> </w:t>
      </w:r>
      <w:proofErr w:type="spellStart"/>
      <w:r w:rsidR="001D1823" w:rsidRPr="00BE19E8">
        <w:rPr>
          <w:i/>
          <w:iCs/>
          <w:sz w:val="24"/>
          <w:szCs w:val="24"/>
          <w:lang w:val="en-US"/>
        </w:rPr>
        <w:t>Mongolchuudyg</w:t>
      </w:r>
      <w:proofErr w:type="spellEnd"/>
      <w:r w:rsidR="001D1823" w:rsidRPr="00BE19E8">
        <w:rPr>
          <w:i/>
          <w:iCs/>
          <w:sz w:val="24"/>
          <w:szCs w:val="24"/>
          <w:lang w:val="en-US"/>
        </w:rPr>
        <w:t xml:space="preserve"> </w:t>
      </w:r>
      <w:proofErr w:type="spellStart"/>
      <w:r w:rsidR="001D1823" w:rsidRPr="00BE19E8">
        <w:rPr>
          <w:i/>
          <w:iCs/>
          <w:sz w:val="24"/>
          <w:szCs w:val="24"/>
          <w:lang w:val="en-US"/>
        </w:rPr>
        <w:t>zahirsan</w:t>
      </w:r>
      <w:proofErr w:type="spellEnd"/>
      <w:r w:rsidR="001D1823" w:rsidRPr="00BE19E8">
        <w:rPr>
          <w:i/>
          <w:iCs/>
          <w:sz w:val="24"/>
          <w:szCs w:val="24"/>
          <w:lang w:val="en-US"/>
        </w:rPr>
        <w:t xml:space="preserve"> </w:t>
      </w:r>
      <w:proofErr w:type="spellStart"/>
      <w:r w:rsidR="001D1823" w:rsidRPr="00BE19E8">
        <w:rPr>
          <w:i/>
          <w:iCs/>
          <w:sz w:val="24"/>
          <w:szCs w:val="24"/>
          <w:lang w:val="en-US"/>
        </w:rPr>
        <w:t>bodlogo</w:t>
      </w:r>
      <w:proofErr w:type="spellEnd"/>
      <w:r w:rsidR="00A14984" w:rsidRPr="00BE19E8">
        <w:rPr>
          <w:i/>
          <w:sz w:val="24"/>
          <w:szCs w:val="24"/>
          <w:lang w:val="en-US"/>
        </w:rPr>
        <w:t xml:space="preserve"> (</w:t>
      </w:r>
      <w:proofErr w:type="spellStart"/>
      <w:r w:rsidR="00A14984" w:rsidRPr="00BE19E8">
        <w:rPr>
          <w:i/>
          <w:sz w:val="24"/>
          <w:szCs w:val="24"/>
          <w:lang w:val="en-US"/>
        </w:rPr>
        <w:t>o</w:t>
      </w:r>
      <w:r w:rsidR="001D1823" w:rsidRPr="00BE19E8">
        <w:rPr>
          <w:i/>
          <w:sz w:val="24"/>
          <w:szCs w:val="24"/>
          <w:lang w:val="en-US"/>
        </w:rPr>
        <w:t>irad</w:t>
      </w:r>
      <w:r w:rsidR="00A14984" w:rsidRPr="00BE19E8">
        <w:rPr>
          <w:i/>
          <w:sz w:val="24"/>
          <w:szCs w:val="24"/>
          <w:lang w:val="en-US"/>
        </w:rPr>
        <w:t>uudyn</w:t>
      </w:r>
      <w:proofErr w:type="spellEnd"/>
      <w:r w:rsidR="00A14984" w:rsidRPr="00BE19E8">
        <w:rPr>
          <w:i/>
          <w:sz w:val="24"/>
          <w:szCs w:val="24"/>
          <w:lang w:val="en-US"/>
        </w:rPr>
        <w:t xml:space="preserve"> </w:t>
      </w:r>
      <w:proofErr w:type="spellStart"/>
      <w:r w:rsidR="001D1823" w:rsidRPr="00BE19E8">
        <w:rPr>
          <w:i/>
          <w:sz w:val="24"/>
          <w:szCs w:val="24"/>
          <w:lang w:val="en-US"/>
        </w:rPr>
        <w:t>j</w:t>
      </w:r>
      <w:r w:rsidR="00A14984" w:rsidRPr="00BE19E8">
        <w:rPr>
          <w:i/>
          <w:sz w:val="24"/>
          <w:szCs w:val="24"/>
          <w:lang w:val="en-US"/>
        </w:rPr>
        <w:t>i</w:t>
      </w:r>
      <w:r w:rsidR="001D1823" w:rsidRPr="00BE19E8">
        <w:rPr>
          <w:i/>
          <w:sz w:val="24"/>
          <w:szCs w:val="24"/>
          <w:lang w:val="en-US"/>
        </w:rPr>
        <w:t>sheen</w:t>
      </w:r>
      <w:proofErr w:type="spellEnd"/>
      <w:r w:rsidR="00A14984" w:rsidRPr="00BE19E8">
        <w:rPr>
          <w:i/>
          <w:sz w:val="24"/>
          <w:szCs w:val="24"/>
          <w:lang w:val="en-US"/>
        </w:rPr>
        <w:t xml:space="preserve"> d</w:t>
      </w:r>
      <w:r w:rsidR="001D1823" w:rsidRPr="00BE19E8">
        <w:rPr>
          <w:i/>
          <w:sz w:val="24"/>
          <w:szCs w:val="24"/>
          <w:lang w:val="en-US"/>
        </w:rPr>
        <w:t>ee</w:t>
      </w:r>
      <w:r w:rsidR="00A14984" w:rsidRPr="00BE19E8">
        <w:rPr>
          <w:i/>
          <w:sz w:val="24"/>
          <w:szCs w:val="24"/>
          <w:lang w:val="en-US"/>
        </w:rPr>
        <w:t>r</w:t>
      </w:r>
      <w:r w:rsidR="00BF2D22" w:rsidRPr="00BE19E8">
        <w:rPr>
          <w:sz w:val="24"/>
          <w:szCs w:val="24"/>
          <w:lang w:val="en-US"/>
        </w:rPr>
        <w:t xml:space="preserve">), Ulaanbaatar: </w:t>
      </w:r>
      <w:r w:rsidR="00A14984" w:rsidRPr="00BE19E8">
        <w:rPr>
          <w:sz w:val="24"/>
          <w:szCs w:val="24"/>
          <w:lang w:val="en-US"/>
        </w:rPr>
        <w:t xml:space="preserve">Arvin </w:t>
      </w:r>
      <w:proofErr w:type="spellStart"/>
      <w:r w:rsidR="00A14984" w:rsidRPr="00BE19E8">
        <w:rPr>
          <w:sz w:val="24"/>
          <w:szCs w:val="24"/>
          <w:lang w:val="en-US"/>
        </w:rPr>
        <w:t>sudar</w:t>
      </w:r>
      <w:proofErr w:type="spellEnd"/>
      <w:r w:rsidR="00A14984" w:rsidRPr="00BE19E8">
        <w:rPr>
          <w:sz w:val="24"/>
          <w:szCs w:val="24"/>
          <w:lang w:val="en-US"/>
        </w:rPr>
        <w:t>.</w:t>
      </w:r>
    </w:p>
    <w:p w:rsidR="00A14984" w:rsidRPr="00BE19E8" w:rsidRDefault="00A14984" w:rsidP="00A14984">
      <w:pPr>
        <w:pStyle w:val="Funotentext"/>
        <w:rPr>
          <w:sz w:val="24"/>
          <w:szCs w:val="24"/>
          <w:lang w:val="en-US"/>
        </w:rPr>
      </w:pPr>
    </w:p>
    <w:p w:rsidR="00303FCB" w:rsidRPr="00303FCB" w:rsidRDefault="00303FCB" w:rsidP="00A14984">
      <w:pPr>
        <w:pStyle w:val="Literatur"/>
      </w:pPr>
      <w:r w:rsidRPr="00BE19E8">
        <w:rPr>
          <w:color w:val="auto"/>
        </w:rPr>
        <w:t>Oyunbilig</w:t>
      </w:r>
      <w:r w:rsidRPr="00303FCB">
        <w:t>, Bor</w:t>
      </w:r>
      <w:r w:rsidRPr="00303FCB">
        <w:rPr>
          <w:rFonts w:cs="Times New Roman"/>
        </w:rPr>
        <w:t>ǰ</w:t>
      </w:r>
      <w:r w:rsidRPr="00303FCB">
        <w:t>igidai</w:t>
      </w:r>
      <w:r w:rsidR="00A236E2">
        <w:t xml:space="preserve"> (</w:t>
      </w:r>
      <w:r w:rsidR="00A236E2" w:rsidRPr="00A236E2">
        <w:t>1999</w:t>
      </w:r>
      <w:r w:rsidR="00A236E2">
        <w:t>)</w:t>
      </w:r>
      <w:r w:rsidRPr="00303FCB">
        <w:t xml:space="preserve">: </w:t>
      </w:r>
      <w:r w:rsidRPr="00303FCB">
        <w:rPr>
          <w:i/>
          <w:iCs/>
        </w:rPr>
        <w:t>Zur Überlieferungsgeschichte des Berichts über den persönlichen Feldzug des Kangxi Kaisers gegen Galdan (1696-1697)</w:t>
      </w:r>
      <w:r>
        <w:t>, Wiesbaden: Harrassowitz.</w:t>
      </w:r>
    </w:p>
    <w:p w:rsidR="00303FCB" w:rsidRPr="00303FCB" w:rsidRDefault="00303FCB" w:rsidP="00A14984">
      <w:pPr>
        <w:pStyle w:val="Literatur"/>
      </w:pPr>
    </w:p>
    <w:p w:rsidR="00A236E2" w:rsidRPr="00A236E2" w:rsidRDefault="00A236E2" w:rsidP="00A236E2">
      <w:pPr>
        <w:pStyle w:val="Literatur"/>
        <w:rPr>
          <w:lang w:val="en-US"/>
        </w:rPr>
      </w:pPr>
      <w:r w:rsidRPr="00A236E2">
        <w:rPr>
          <w:lang w:val="en-US"/>
        </w:rPr>
        <w:t>Perdue, Peter C.</w:t>
      </w:r>
      <w:r>
        <w:rPr>
          <w:lang w:val="en-US"/>
        </w:rPr>
        <w:t xml:space="preserve"> (</w:t>
      </w:r>
      <w:r w:rsidRPr="00A236E2">
        <w:rPr>
          <w:lang w:val="en-US"/>
        </w:rPr>
        <w:t>2005</w:t>
      </w:r>
      <w:r>
        <w:rPr>
          <w:lang w:val="en-US"/>
        </w:rPr>
        <w:t>)</w:t>
      </w:r>
      <w:r w:rsidRPr="00A236E2">
        <w:rPr>
          <w:lang w:val="en-US"/>
        </w:rPr>
        <w:t xml:space="preserve">: </w:t>
      </w:r>
      <w:r w:rsidRPr="00A236E2">
        <w:rPr>
          <w:i/>
          <w:iCs/>
          <w:lang w:val="en-US"/>
        </w:rPr>
        <w:t>China Marches West. The Qing conquest of Central Eurasia,</w:t>
      </w:r>
      <w:r w:rsidRPr="00A236E2">
        <w:rPr>
          <w:lang w:val="en-US"/>
        </w:rPr>
        <w:t xml:space="preserve"> Cambridge and London: Harvard University Press.</w:t>
      </w:r>
    </w:p>
    <w:p w:rsidR="00A236E2" w:rsidRPr="00A236E2" w:rsidRDefault="00A236E2" w:rsidP="00A236E2">
      <w:pPr>
        <w:pStyle w:val="Literatur"/>
        <w:rPr>
          <w:lang w:val="en-US"/>
        </w:rPr>
      </w:pPr>
    </w:p>
    <w:p w:rsidR="00B640A3" w:rsidRDefault="00B640A3" w:rsidP="00A14984">
      <w:pPr>
        <w:pStyle w:val="Literatur"/>
        <w:rPr>
          <w:lang w:val="en-US"/>
        </w:rPr>
      </w:pPr>
      <w:r>
        <w:rPr>
          <w:lang w:val="en-US"/>
        </w:rPr>
        <w:t xml:space="preserve">Perdue, Peter C. </w:t>
      </w:r>
      <w:r w:rsidR="00A236E2" w:rsidRPr="00A236E2">
        <w:rPr>
          <w:lang w:val="en-US"/>
        </w:rPr>
        <w:t>(2009</w:t>
      </w:r>
      <w:r w:rsidR="00A236E2">
        <w:rPr>
          <w:lang w:val="en-US"/>
        </w:rPr>
        <w:t>a)</w:t>
      </w:r>
      <w:r>
        <w:rPr>
          <w:lang w:val="en-US"/>
        </w:rPr>
        <w:t xml:space="preserve">: “China and Other Colonial Empires”, </w:t>
      </w:r>
      <w:r w:rsidRPr="00B640A3">
        <w:rPr>
          <w:i/>
          <w:iCs/>
          <w:lang w:val="en-US"/>
        </w:rPr>
        <w:t>The Journal of American-East</w:t>
      </w:r>
      <w:r>
        <w:rPr>
          <w:i/>
          <w:iCs/>
          <w:lang w:val="en-US"/>
        </w:rPr>
        <w:t xml:space="preserve"> </w:t>
      </w:r>
      <w:r w:rsidRPr="00B640A3">
        <w:rPr>
          <w:i/>
          <w:iCs/>
          <w:lang w:val="en-US"/>
        </w:rPr>
        <w:t>Asian Relations</w:t>
      </w:r>
      <w:r>
        <w:rPr>
          <w:lang w:val="en-US"/>
        </w:rPr>
        <w:t>, 16:1-2, 85-103.</w:t>
      </w:r>
    </w:p>
    <w:p w:rsidR="00B640A3" w:rsidRDefault="00B640A3" w:rsidP="00A14984">
      <w:pPr>
        <w:pStyle w:val="Literatur"/>
        <w:rPr>
          <w:lang w:val="en-US"/>
        </w:rPr>
      </w:pPr>
    </w:p>
    <w:p w:rsidR="00A14984" w:rsidRPr="00200BD1" w:rsidRDefault="00A14984" w:rsidP="00A14984">
      <w:pPr>
        <w:pStyle w:val="Funotentext"/>
        <w:rPr>
          <w:sz w:val="24"/>
          <w:szCs w:val="24"/>
          <w:lang w:val="en-US"/>
        </w:rPr>
      </w:pPr>
      <w:r w:rsidRPr="00F3567C">
        <w:rPr>
          <w:sz w:val="24"/>
          <w:szCs w:val="24"/>
          <w:lang w:val="en-US"/>
        </w:rPr>
        <w:t>Perdue</w:t>
      </w:r>
      <w:r w:rsidRPr="00200BD1">
        <w:rPr>
          <w:sz w:val="24"/>
          <w:szCs w:val="24"/>
          <w:lang w:val="en-US"/>
        </w:rPr>
        <w:t xml:space="preserve">, </w:t>
      </w:r>
      <w:r>
        <w:rPr>
          <w:sz w:val="24"/>
          <w:szCs w:val="24"/>
          <w:lang w:val="en-US"/>
        </w:rPr>
        <w:t>Peter C.</w:t>
      </w:r>
      <w:r w:rsidR="00A236E2">
        <w:rPr>
          <w:sz w:val="24"/>
          <w:szCs w:val="24"/>
          <w:lang w:val="en-US"/>
        </w:rPr>
        <w:t xml:space="preserve"> (</w:t>
      </w:r>
      <w:r w:rsidR="00A236E2" w:rsidRPr="00A236E2">
        <w:rPr>
          <w:sz w:val="24"/>
          <w:szCs w:val="24"/>
          <w:lang w:val="en-US"/>
        </w:rPr>
        <w:t>2009</w:t>
      </w:r>
      <w:r w:rsidR="00A236E2">
        <w:rPr>
          <w:sz w:val="24"/>
          <w:szCs w:val="24"/>
          <w:lang w:val="en-US"/>
        </w:rPr>
        <w:t>)</w:t>
      </w:r>
      <w:r>
        <w:rPr>
          <w:sz w:val="24"/>
          <w:szCs w:val="24"/>
          <w:lang w:val="en-US"/>
        </w:rPr>
        <w:t xml:space="preserve">: </w:t>
      </w:r>
      <w:r w:rsidRPr="00200BD1">
        <w:rPr>
          <w:sz w:val="24"/>
          <w:szCs w:val="24"/>
          <w:lang w:val="en-US"/>
        </w:rPr>
        <w:t>„Empire and Nation in Comparative Perspective</w:t>
      </w:r>
      <w:r>
        <w:rPr>
          <w:sz w:val="24"/>
          <w:szCs w:val="24"/>
          <w:lang w:val="en-US"/>
        </w:rPr>
        <w:t>: Frontier Administration in Eighteenth-Century China</w:t>
      </w:r>
      <w:r w:rsidRPr="00200BD1">
        <w:rPr>
          <w:sz w:val="24"/>
          <w:szCs w:val="24"/>
          <w:lang w:val="en-US"/>
        </w:rPr>
        <w:t xml:space="preserve">“, </w:t>
      </w:r>
      <w:r>
        <w:rPr>
          <w:sz w:val="24"/>
          <w:szCs w:val="24"/>
          <w:lang w:val="en-US"/>
        </w:rPr>
        <w:t xml:space="preserve">in: </w:t>
      </w:r>
      <w:r w:rsidRPr="000C020C">
        <w:rPr>
          <w:i/>
          <w:sz w:val="24"/>
          <w:szCs w:val="24"/>
          <w:lang w:val="en-US"/>
        </w:rPr>
        <w:t>Shared Histories of Modernity. China, India and the Ottoman Empire</w:t>
      </w:r>
      <w:r>
        <w:rPr>
          <w:sz w:val="24"/>
          <w:szCs w:val="24"/>
          <w:lang w:val="en-US"/>
        </w:rPr>
        <w:t xml:space="preserve">, edited by </w:t>
      </w:r>
      <w:proofErr w:type="spellStart"/>
      <w:r>
        <w:rPr>
          <w:sz w:val="24"/>
          <w:szCs w:val="24"/>
          <w:lang w:val="en-US"/>
        </w:rPr>
        <w:t>Huri</w:t>
      </w:r>
      <w:proofErr w:type="spellEnd"/>
      <w:r>
        <w:rPr>
          <w:sz w:val="24"/>
          <w:szCs w:val="24"/>
          <w:lang w:val="en-US"/>
        </w:rPr>
        <w:t xml:space="preserve"> </w:t>
      </w:r>
      <w:proofErr w:type="spellStart"/>
      <w:r w:rsidRPr="000C020C">
        <w:rPr>
          <w:sz w:val="24"/>
          <w:szCs w:val="24"/>
          <w:lang w:val="en-US"/>
        </w:rPr>
        <w:t>Islamoğlu</w:t>
      </w:r>
      <w:proofErr w:type="spellEnd"/>
      <w:r w:rsidR="00AB4CD3">
        <w:rPr>
          <w:sz w:val="24"/>
          <w:szCs w:val="24"/>
          <w:lang w:val="en-US"/>
        </w:rPr>
        <w:t xml:space="preserve"> et al.</w:t>
      </w:r>
      <w:r>
        <w:rPr>
          <w:sz w:val="24"/>
          <w:szCs w:val="24"/>
          <w:lang w:val="en-US"/>
        </w:rPr>
        <w:t>, London et al.: Routledge</w:t>
      </w:r>
      <w:r w:rsidRPr="00200BD1">
        <w:rPr>
          <w:sz w:val="24"/>
          <w:szCs w:val="24"/>
          <w:lang w:val="en-US"/>
        </w:rPr>
        <w:t xml:space="preserve">, </w:t>
      </w:r>
      <w:r>
        <w:rPr>
          <w:sz w:val="24"/>
          <w:szCs w:val="24"/>
          <w:lang w:val="en-US"/>
        </w:rPr>
        <w:t>21-45</w:t>
      </w:r>
      <w:r w:rsidRPr="00200BD1">
        <w:rPr>
          <w:sz w:val="24"/>
          <w:szCs w:val="24"/>
          <w:lang w:val="en-US"/>
        </w:rPr>
        <w:t>.</w:t>
      </w:r>
    </w:p>
    <w:p w:rsidR="00A14984" w:rsidRPr="00200BD1" w:rsidRDefault="00A14984" w:rsidP="00A14984">
      <w:pPr>
        <w:pStyle w:val="Funotentext"/>
        <w:rPr>
          <w:sz w:val="24"/>
          <w:szCs w:val="24"/>
          <w:lang w:val="en-US"/>
        </w:rPr>
      </w:pPr>
    </w:p>
    <w:p w:rsidR="00A14984" w:rsidRPr="0018261F" w:rsidRDefault="00A14984" w:rsidP="00A14984">
      <w:pPr>
        <w:rPr>
          <w:lang w:val="en-US"/>
        </w:rPr>
      </w:pPr>
      <w:r w:rsidRPr="00C0560E">
        <w:rPr>
          <w:i/>
          <w:iCs/>
          <w:lang w:val="en-US"/>
        </w:rPr>
        <w:t xml:space="preserve">Qianlong </w:t>
      </w:r>
      <w:proofErr w:type="spellStart"/>
      <w:r w:rsidRPr="00C0560E">
        <w:rPr>
          <w:i/>
          <w:iCs/>
          <w:lang w:val="en-US"/>
        </w:rPr>
        <w:t>chao</w:t>
      </w:r>
      <w:proofErr w:type="spellEnd"/>
      <w:r w:rsidRPr="00C0560E">
        <w:rPr>
          <w:i/>
          <w:iCs/>
          <w:lang w:val="en-US"/>
        </w:rPr>
        <w:t xml:space="preserve"> </w:t>
      </w:r>
      <w:proofErr w:type="spellStart"/>
      <w:r w:rsidRPr="00C0560E">
        <w:rPr>
          <w:i/>
          <w:iCs/>
          <w:lang w:val="en-US"/>
        </w:rPr>
        <w:t>neifu</w:t>
      </w:r>
      <w:proofErr w:type="spellEnd"/>
      <w:r w:rsidRPr="00C0560E">
        <w:rPr>
          <w:i/>
          <w:iCs/>
          <w:lang w:val="en-US"/>
        </w:rPr>
        <w:t xml:space="preserve"> </w:t>
      </w:r>
      <w:proofErr w:type="spellStart"/>
      <w:r w:rsidRPr="00C0560E">
        <w:rPr>
          <w:i/>
          <w:iCs/>
          <w:lang w:val="en-US"/>
        </w:rPr>
        <w:t>chaoben</w:t>
      </w:r>
      <w:proofErr w:type="spellEnd"/>
      <w:r w:rsidRPr="00C0560E">
        <w:rPr>
          <w:i/>
          <w:iCs/>
          <w:lang w:val="en-US"/>
        </w:rPr>
        <w:t xml:space="preserve"> &lt;</w:t>
      </w:r>
      <w:proofErr w:type="spellStart"/>
      <w:r w:rsidRPr="00C0560E">
        <w:rPr>
          <w:i/>
          <w:iCs/>
          <w:lang w:val="en-US"/>
        </w:rPr>
        <w:t>Lifanyuan</w:t>
      </w:r>
      <w:proofErr w:type="spellEnd"/>
      <w:r w:rsidRPr="00C0560E">
        <w:rPr>
          <w:i/>
          <w:iCs/>
          <w:lang w:val="en-US"/>
        </w:rPr>
        <w:t xml:space="preserve"> </w:t>
      </w:r>
      <w:proofErr w:type="spellStart"/>
      <w:r w:rsidRPr="00C0560E">
        <w:rPr>
          <w:i/>
          <w:iCs/>
          <w:lang w:val="en-US"/>
        </w:rPr>
        <w:t>zeli</w:t>
      </w:r>
      <w:proofErr w:type="spellEnd"/>
      <w:r w:rsidRPr="00C0560E">
        <w:rPr>
          <w:i/>
          <w:iCs/>
          <w:lang w:val="en-US"/>
        </w:rPr>
        <w:t xml:space="preserve">&gt; </w:t>
      </w:r>
      <w:proofErr w:type="spellStart"/>
      <w:r w:rsidRPr="0077654F">
        <w:t>乾隆朝内府抄本</w:t>
      </w:r>
      <w:proofErr w:type="spellEnd"/>
      <w:r w:rsidRPr="00C0560E">
        <w:rPr>
          <w:lang w:val="en-US"/>
        </w:rPr>
        <w:t>&lt;</w:t>
      </w:r>
      <w:proofErr w:type="spellStart"/>
      <w:r w:rsidRPr="0077654F">
        <w:t>理藩院</w:t>
      </w:r>
      <w:r w:rsidRPr="000760E4">
        <w:rPr>
          <w:rFonts w:ascii="MingLiU" w:eastAsia="MingLiU" w:hAnsi="MingLiU" w:cs="MingLiU" w:hint="eastAsia"/>
        </w:rPr>
        <w:t>则</w:t>
      </w:r>
      <w:r w:rsidRPr="000760E4">
        <w:rPr>
          <w:rFonts w:ascii="Cambria Math" w:hAnsi="Cambria Math" w:cs="Cambria Math" w:hint="eastAsia"/>
        </w:rPr>
        <w:t>例</w:t>
      </w:r>
      <w:proofErr w:type="spellEnd"/>
      <w:r w:rsidRPr="00C0560E">
        <w:rPr>
          <w:lang w:val="en-US"/>
        </w:rPr>
        <w:t>&gt;</w:t>
      </w:r>
      <w:r w:rsidR="00A236E2">
        <w:rPr>
          <w:lang w:val="en-US"/>
        </w:rPr>
        <w:t xml:space="preserve"> (</w:t>
      </w:r>
      <w:r w:rsidR="00A236E2" w:rsidRPr="00A236E2">
        <w:rPr>
          <w:lang w:val="en-US"/>
        </w:rPr>
        <w:t>2006</w:t>
      </w:r>
      <w:r w:rsidR="00A236E2">
        <w:rPr>
          <w:lang w:val="en-US"/>
        </w:rPr>
        <w:t>)</w:t>
      </w:r>
      <w:r>
        <w:rPr>
          <w:lang w:val="en-US"/>
        </w:rPr>
        <w:t xml:space="preserve">, edited by </w:t>
      </w:r>
      <w:proofErr w:type="spellStart"/>
      <w:r w:rsidRPr="00C0560E">
        <w:rPr>
          <w:lang w:val="en-US"/>
        </w:rPr>
        <w:t>Labapingcuo</w:t>
      </w:r>
      <w:proofErr w:type="spellEnd"/>
      <w:r w:rsidRPr="00C0560E">
        <w:rPr>
          <w:lang w:val="en-US"/>
        </w:rPr>
        <w:t xml:space="preserve"> </w:t>
      </w:r>
      <w:proofErr w:type="spellStart"/>
      <w:r w:rsidRPr="0077654F">
        <w:t>拉巴平措</w:t>
      </w:r>
      <w:proofErr w:type="spellEnd"/>
      <w:r w:rsidRPr="00C0560E">
        <w:rPr>
          <w:lang w:val="en-US"/>
        </w:rPr>
        <w:t>,</w:t>
      </w:r>
      <w:r>
        <w:rPr>
          <w:lang w:val="en-US"/>
        </w:rPr>
        <w:t xml:space="preserve"> </w:t>
      </w:r>
      <w:r w:rsidRPr="00C0560E">
        <w:rPr>
          <w:lang w:val="en-US"/>
        </w:rPr>
        <w:t xml:space="preserve">Beijing: </w:t>
      </w:r>
      <w:proofErr w:type="spellStart"/>
      <w:r w:rsidRPr="00C0560E">
        <w:rPr>
          <w:lang w:val="en-US"/>
        </w:rPr>
        <w:t>Zhongguo</w:t>
      </w:r>
      <w:proofErr w:type="spellEnd"/>
      <w:r w:rsidRPr="00C0560E">
        <w:rPr>
          <w:lang w:val="en-US"/>
        </w:rPr>
        <w:t xml:space="preserve"> </w:t>
      </w:r>
      <w:proofErr w:type="spellStart"/>
      <w:r w:rsidRPr="00C0560E">
        <w:rPr>
          <w:lang w:val="en-US"/>
        </w:rPr>
        <w:t>zangxue</w:t>
      </w:r>
      <w:proofErr w:type="spellEnd"/>
      <w:r w:rsidRPr="00C0560E">
        <w:rPr>
          <w:lang w:val="en-US"/>
        </w:rPr>
        <w:t xml:space="preserve"> </w:t>
      </w:r>
      <w:proofErr w:type="spellStart"/>
      <w:r w:rsidRPr="00C0560E">
        <w:rPr>
          <w:lang w:val="en-US"/>
        </w:rPr>
        <w:t>chubanshe</w:t>
      </w:r>
      <w:proofErr w:type="spellEnd"/>
      <w:r>
        <w:rPr>
          <w:lang w:val="en-US"/>
        </w:rPr>
        <w:t>.</w:t>
      </w:r>
      <w:r w:rsidRPr="0018261F">
        <w:rPr>
          <w:lang w:val="en-US"/>
        </w:rPr>
        <w:t xml:space="preserve"> </w:t>
      </w:r>
    </w:p>
    <w:p w:rsidR="00A14984" w:rsidRPr="0018261F" w:rsidRDefault="00A14984" w:rsidP="00A14984">
      <w:pPr>
        <w:rPr>
          <w:lang w:val="en-US"/>
        </w:rPr>
      </w:pPr>
    </w:p>
    <w:p w:rsidR="00A14984" w:rsidRPr="00194440" w:rsidRDefault="00A14984" w:rsidP="00A14984">
      <w:pPr>
        <w:pStyle w:val="Literatur"/>
        <w:rPr>
          <w:lang w:val="en-US"/>
        </w:rPr>
      </w:pPr>
      <w:r w:rsidRPr="00F3717E">
        <w:rPr>
          <w:rFonts w:cs="Times New Roman"/>
          <w:i/>
          <w:lang w:val="en-US"/>
        </w:rPr>
        <w:t>Qing chao qianqi Lifanyuan man meng wen tiben</w:t>
      </w:r>
      <w:r w:rsidRPr="00F3717E">
        <w:rPr>
          <w:rFonts w:cs="Times New Roman"/>
        </w:rPr>
        <w:t>清朝前期理藩院</w:t>
      </w:r>
      <w:r w:rsidRPr="00F3717E">
        <w:rPr>
          <w:rFonts w:eastAsia="MingLiU" w:hAnsi="MingLiU" w:cs="Times New Roman"/>
        </w:rPr>
        <w:t>满</w:t>
      </w:r>
      <w:r w:rsidRPr="00F3717E">
        <w:rPr>
          <w:rFonts w:hAnsi="Cambria Math" w:cs="Times New Roman"/>
        </w:rPr>
        <w:t>蒙文</w:t>
      </w:r>
      <w:r w:rsidRPr="00F3717E">
        <w:rPr>
          <w:rFonts w:eastAsia="MingLiU" w:hAnsi="MingLiU" w:cs="Times New Roman"/>
        </w:rPr>
        <w:t>题</w:t>
      </w:r>
      <w:r w:rsidRPr="00F3717E">
        <w:rPr>
          <w:rFonts w:hAnsi="Cambria Math" w:cs="Times New Roman"/>
        </w:rPr>
        <w:t>本</w:t>
      </w:r>
      <w:r w:rsidRPr="00F3717E">
        <w:rPr>
          <w:rFonts w:cs="Times New Roman"/>
          <w:lang w:val="en-US"/>
        </w:rPr>
        <w:t xml:space="preserve">/ </w:t>
      </w:r>
      <w:r w:rsidRPr="00F3717E">
        <w:rPr>
          <w:rFonts w:cs="Times New Roman"/>
          <w:i/>
          <w:lang w:val="en-US"/>
        </w:rPr>
        <w:t xml:space="preserve">Dayičing gürün-ü ekin üy-e-yin </w:t>
      </w:r>
      <w:r w:rsidRPr="00F3717E">
        <w:rPr>
          <w:rFonts w:cs="Times New Roman"/>
          <w:i/>
        </w:rPr>
        <w:t>γ</w:t>
      </w:r>
      <w:r w:rsidRPr="00F3717E">
        <w:rPr>
          <w:rFonts w:cs="Times New Roman"/>
          <w:i/>
          <w:lang w:val="en-US"/>
        </w:rPr>
        <w:t>ada</w:t>
      </w:r>
      <w:r w:rsidRPr="00F3717E">
        <w:rPr>
          <w:rFonts w:cs="Times New Roman"/>
          <w:i/>
        </w:rPr>
        <w:t>γ</w:t>
      </w:r>
      <w:r w:rsidRPr="00F3717E">
        <w:rPr>
          <w:rFonts w:cs="Times New Roman"/>
          <w:i/>
          <w:lang w:val="en-US"/>
        </w:rPr>
        <w:t>adu mong</w:t>
      </w:r>
      <w:r w:rsidRPr="00F3717E">
        <w:rPr>
          <w:rFonts w:cs="Times New Roman"/>
          <w:i/>
        </w:rPr>
        <w:t>γ</w:t>
      </w:r>
      <w:r w:rsidRPr="00F3717E">
        <w:rPr>
          <w:rFonts w:cs="Times New Roman"/>
          <w:i/>
          <w:lang w:val="en-US"/>
        </w:rPr>
        <w:t xml:space="preserve">ol-un törö-yi </w:t>
      </w:r>
      <w:r w:rsidRPr="00F3717E">
        <w:rPr>
          <w:rFonts w:eastAsia="Arial Unicode MS" w:cs="Times New Roman"/>
          <w:i/>
          <w:lang w:val="en-US"/>
        </w:rPr>
        <w:t>j</w:t>
      </w:r>
      <w:r w:rsidRPr="00F3717E">
        <w:rPr>
          <w:rFonts w:cs="Times New Roman"/>
          <w:i/>
          <w:lang w:val="en-US"/>
        </w:rPr>
        <w:t>asaqu yabudal-un yamun-u man</w:t>
      </w:r>
      <w:r w:rsidRPr="00F3717E">
        <w:rPr>
          <w:rFonts w:eastAsia="Arial Unicode MS" w:cs="Times New Roman"/>
          <w:i/>
          <w:lang w:val="en-US"/>
        </w:rPr>
        <w:t>j</w:t>
      </w:r>
      <w:r w:rsidRPr="00F3717E">
        <w:rPr>
          <w:rFonts w:cs="Times New Roman"/>
          <w:i/>
          <w:lang w:val="en-US"/>
        </w:rPr>
        <w:t>u mong</w:t>
      </w:r>
      <w:r w:rsidRPr="00F3717E">
        <w:rPr>
          <w:rFonts w:cs="Times New Roman"/>
          <w:i/>
        </w:rPr>
        <w:t>γ</w:t>
      </w:r>
      <w:r w:rsidRPr="00F3717E">
        <w:rPr>
          <w:rFonts w:cs="Times New Roman"/>
          <w:i/>
          <w:lang w:val="en-US"/>
        </w:rPr>
        <w:t>ol ayiladqal-un debter-üd</w:t>
      </w:r>
      <w:r w:rsidR="00A236E2">
        <w:rPr>
          <w:rFonts w:cs="Times New Roman"/>
          <w:iCs/>
          <w:lang w:val="en-US"/>
        </w:rPr>
        <w:t xml:space="preserve"> (</w:t>
      </w:r>
      <w:r w:rsidR="00A236E2" w:rsidRPr="00A236E2">
        <w:rPr>
          <w:rFonts w:cs="Times New Roman"/>
          <w:iCs/>
          <w:lang w:val="en-US"/>
        </w:rPr>
        <w:t>2010</w:t>
      </w:r>
      <w:r w:rsidR="00A236E2">
        <w:rPr>
          <w:rFonts w:cs="Times New Roman"/>
          <w:iCs/>
          <w:lang w:val="en-US"/>
        </w:rPr>
        <w:t>)</w:t>
      </w:r>
      <w:r w:rsidRPr="00F3717E">
        <w:rPr>
          <w:rFonts w:cs="Times New Roman"/>
          <w:lang w:val="en-US"/>
        </w:rPr>
        <w:t xml:space="preserve">, edited by </w:t>
      </w:r>
      <w:r w:rsidR="00AB4CD3">
        <w:rPr>
          <w:rFonts w:cs="Times New Roman"/>
          <w:lang w:val="en-US"/>
        </w:rPr>
        <w:t>B. Oyunbilig et al.</w:t>
      </w:r>
      <w:r>
        <w:rPr>
          <w:lang w:val="en-US"/>
        </w:rPr>
        <w:t xml:space="preserve">, </w:t>
      </w:r>
      <w:r w:rsidRPr="00F3717E">
        <w:rPr>
          <w:lang w:val="en-US"/>
        </w:rPr>
        <w:t xml:space="preserve">23 vols. </w:t>
      </w:r>
      <w:r w:rsidRPr="00194440">
        <w:rPr>
          <w:lang w:val="en-US"/>
        </w:rPr>
        <w:t>+ Index, Hohhot: Nei Menggu renmin chubanshe.</w:t>
      </w:r>
    </w:p>
    <w:p w:rsidR="00A14984" w:rsidRPr="0018261F" w:rsidRDefault="00A14984" w:rsidP="00A14984">
      <w:pPr>
        <w:rPr>
          <w:lang w:val="en-US"/>
        </w:rPr>
      </w:pPr>
    </w:p>
    <w:p w:rsidR="00A14984" w:rsidRPr="008B1A33" w:rsidRDefault="00A14984" w:rsidP="00A14984">
      <w:pPr>
        <w:rPr>
          <w:lang w:val="en-US"/>
        </w:rPr>
      </w:pPr>
      <w:r w:rsidRPr="008B1A33">
        <w:rPr>
          <w:lang w:val="en-US"/>
        </w:rPr>
        <w:t xml:space="preserve">Rowe, </w:t>
      </w:r>
      <w:r>
        <w:rPr>
          <w:lang w:val="en-US"/>
        </w:rPr>
        <w:t>William T.</w:t>
      </w:r>
      <w:r w:rsidR="00A236E2">
        <w:rPr>
          <w:lang w:val="en-US"/>
        </w:rPr>
        <w:t xml:space="preserve"> (</w:t>
      </w:r>
      <w:r w:rsidR="00A236E2" w:rsidRPr="00A236E2">
        <w:rPr>
          <w:lang w:val="en-US"/>
        </w:rPr>
        <w:t>2009</w:t>
      </w:r>
      <w:r w:rsidR="00A236E2">
        <w:rPr>
          <w:lang w:val="en-US"/>
        </w:rPr>
        <w:t>)</w:t>
      </w:r>
      <w:r>
        <w:rPr>
          <w:lang w:val="en-US"/>
        </w:rPr>
        <w:t xml:space="preserve">: </w:t>
      </w:r>
      <w:r w:rsidRPr="008B1A33">
        <w:rPr>
          <w:i/>
          <w:lang w:val="en-US"/>
        </w:rPr>
        <w:t>China’s Last Empire</w:t>
      </w:r>
      <w:r>
        <w:rPr>
          <w:i/>
          <w:lang w:val="en-US"/>
        </w:rPr>
        <w:t xml:space="preserve">. The Great Qing, </w:t>
      </w:r>
      <w:r>
        <w:rPr>
          <w:lang w:val="en-US"/>
        </w:rPr>
        <w:t>Cambridge, Mass. et al.:</w:t>
      </w:r>
      <w:r w:rsidRPr="008B1A33">
        <w:rPr>
          <w:lang w:val="en-US"/>
        </w:rPr>
        <w:t xml:space="preserve"> </w:t>
      </w:r>
      <w:r>
        <w:rPr>
          <w:lang w:val="en-US"/>
        </w:rPr>
        <w:t>The Belknap Press of Harvard University Press.</w:t>
      </w:r>
    </w:p>
    <w:p w:rsidR="00A14984" w:rsidRPr="008B1A33" w:rsidRDefault="00A14984" w:rsidP="00A14984">
      <w:pPr>
        <w:rPr>
          <w:lang w:val="en-US"/>
        </w:rPr>
      </w:pPr>
    </w:p>
    <w:p w:rsidR="002E13BE" w:rsidRDefault="002E13BE" w:rsidP="00A14984">
      <w:pPr>
        <w:pStyle w:val="Funotentext"/>
        <w:rPr>
          <w:sz w:val="24"/>
          <w:szCs w:val="24"/>
          <w:lang w:val="en-US"/>
        </w:rPr>
      </w:pPr>
      <w:proofErr w:type="spellStart"/>
      <w:r>
        <w:rPr>
          <w:sz w:val="24"/>
          <w:szCs w:val="24"/>
          <w:lang w:val="en-US"/>
        </w:rPr>
        <w:t>Schorkowitz</w:t>
      </w:r>
      <w:proofErr w:type="spellEnd"/>
      <w:r>
        <w:rPr>
          <w:sz w:val="24"/>
          <w:szCs w:val="24"/>
          <w:lang w:val="en-US"/>
        </w:rPr>
        <w:t xml:space="preserve">, </w:t>
      </w:r>
      <w:proofErr w:type="spellStart"/>
      <w:r>
        <w:rPr>
          <w:sz w:val="24"/>
          <w:szCs w:val="24"/>
          <w:lang w:val="en-US"/>
        </w:rPr>
        <w:t>Dittmar</w:t>
      </w:r>
      <w:proofErr w:type="spellEnd"/>
      <w:r w:rsidR="004A081C">
        <w:rPr>
          <w:sz w:val="24"/>
          <w:szCs w:val="24"/>
          <w:lang w:val="en-US"/>
        </w:rPr>
        <w:t xml:space="preserve"> (</w:t>
      </w:r>
      <w:r w:rsidR="004A081C" w:rsidRPr="004A081C">
        <w:rPr>
          <w:sz w:val="24"/>
          <w:szCs w:val="24"/>
          <w:lang w:val="en-US"/>
        </w:rPr>
        <w:t>2012)</w:t>
      </w:r>
      <w:r>
        <w:rPr>
          <w:sz w:val="24"/>
          <w:szCs w:val="24"/>
          <w:lang w:val="en-US"/>
        </w:rPr>
        <w:t xml:space="preserve">: “Historical Anthropology in Eurasia ‘…and the Way Thither’”, </w:t>
      </w:r>
      <w:r w:rsidRPr="002E13BE">
        <w:rPr>
          <w:i/>
          <w:iCs/>
          <w:sz w:val="24"/>
          <w:szCs w:val="24"/>
          <w:lang w:val="en-US"/>
        </w:rPr>
        <w:t>History and Anthropology</w:t>
      </w:r>
      <w:r>
        <w:rPr>
          <w:sz w:val="24"/>
          <w:szCs w:val="24"/>
          <w:lang w:val="en-US"/>
        </w:rPr>
        <w:t xml:space="preserve"> 23:1, 37-62.</w:t>
      </w:r>
    </w:p>
    <w:p w:rsidR="002E13BE" w:rsidRDefault="002E13BE" w:rsidP="00A14984">
      <w:pPr>
        <w:pStyle w:val="Funotentext"/>
        <w:rPr>
          <w:sz w:val="24"/>
          <w:szCs w:val="24"/>
          <w:lang w:val="en-US"/>
        </w:rPr>
      </w:pPr>
    </w:p>
    <w:p w:rsidR="00A14984" w:rsidRPr="00BE19E8" w:rsidRDefault="00A14984" w:rsidP="00A14984">
      <w:pPr>
        <w:pStyle w:val="Funotentext"/>
        <w:rPr>
          <w:sz w:val="24"/>
          <w:szCs w:val="24"/>
          <w:lang w:val="en-US"/>
        </w:rPr>
      </w:pPr>
      <w:r w:rsidRPr="00BE19E8">
        <w:rPr>
          <w:sz w:val="24"/>
          <w:szCs w:val="24"/>
          <w:lang w:val="en-US"/>
        </w:rPr>
        <w:t>Song, Tong</w:t>
      </w:r>
      <w:r w:rsidR="004A081C" w:rsidRPr="00BE19E8">
        <w:rPr>
          <w:sz w:val="24"/>
          <w:szCs w:val="24"/>
          <w:lang w:val="en-US"/>
        </w:rPr>
        <w:t xml:space="preserve"> (forthcoming)</w:t>
      </w:r>
      <w:r w:rsidRPr="00BE19E8">
        <w:rPr>
          <w:sz w:val="24"/>
          <w:szCs w:val="24"/>
          <w:lang w:val="en-US"/>
        </w:rPr>
        <w:t>: “</w:t>
      </w:r>
      <w:proofErr w:type="spellStart"/>
      <w:r w:rsidRPr="00BE19E8">
        <w:rPr>
          <w:sz w:val="24"/>
          <w:szCs w:val="24"/>
          <w:lang w:val="en-US"/>
        </w:rPr>
        <w:t>Lun</w:t>
      </w:r>
      <w:proofErr w:type="spellEnd"/>
      <w:r w:rsidRPr="00BE19E8">
        <w:rPr>
          <w:sz w:val="24"/>
          <w:szCs w:val="24"/>
          <w:lang w:val="en-US"/>
        </w:rPr>
        <w:t xml:space="preserve"> Shunzhi </w:t>
      </w:r>
      <w:proofErr w:type="spellStart"/>
      <w:r w:rsidRPr="00BE19E8">
        <w:rPr>
          <w:sz w:val="24"/>
          <w:szCs w:val="24"/>
          <w:lang w:val="en-US"/>
        </w:rPr>
        <w:t>chao</w:t>
      </w:r>
      <w:proofErr w:type="spellEnd"/>
      <w:r w:rsidRPr="00BE19E8">
        <w:rPr>
          <w:sz w:val="24"/>
          <w:szCs w:val="24"/>
          <w:lang w:val="en-US"/>
        </w:rPr>
        <w:t xml:space="preserve"> </w:t>
      </w:r>
      <w:proofErr w:type="spellStart"/>
      <w:r w:rsidRPr="00BE19E8">
        <w:rPr>
          <w:sz w:val="24"/>
          <w:szCs w:val="24"/>
          <w:lang w:val="en-US"/>
        </w:rPr>
        <w:t>Qingting</w:t>
      </w:r>
      <w:proofErr w:type="spellEnd"/>
      <w:r w:rsidRPr="00BE19E8">
        <w:rPr>
          <w:sz w:val="24"/>
          <w:szCs w:val="24"/>
          <w:lang w:val="en-US"/>
        </w:rPr>
        <w:t xml:space="preserve"> </w:t>
      </w:r>
      <w:proofErr w:type="spellStart"/>
      <w:r w:rsidRPr="00BE19E8">
        <w:rPr>
          <w:sz w:val="24"/>
          <w:szCs w:val="24"/>
          <w:lang w:val="en-US"/>
        </w:rPr>
        <w:t>yanlai</w:t>
      </w:r>
      <w:proofErr w:type="spellEnd"/>
      <w:r w:rsidRPr="00BE19E8">
        <w:rPr>
          <w:sz w:val="24"/>
          <w:szCs w:val="24"/>
          <w:lang w:val="en-US"/>
        </w:rPr>
        <w:t xml:space="preserve"> </w:t>
      </w:r>
      <w:proofErr w:type="spellStart"/>
      <w:r w:rsidRPr="00BE19E8">
        <w:rPr>
          <w:sz w:val="24"/>
          <w:szCs w:val="24"/>
          <w:lang w:val="en-US"/>
        </w:rPr>
        <w:t>zhidu</w:t>
      </w:r>
      <w:proofErr w:type="spellEnd"/>
      <w:r w:rsidRPr="00BE19E8">
        <w:rPr>
          <w:sz w:val="24"/>
          <w:szCs w:val="24"/>
          <w:lang w:val="en-US"/>
        </w:rPr>
        <w:t xml:space="preserve"> </w:t>
      </w:r>
      <w:r w:rsidRPr="00BE19E8">
        <w:rPr>
          <w:sz w:val="24"/>
          <w:szCs w:val="24"/>
          <w:lang w:val="en-US" w:eastAsia="zh-CN"/>
        </w:rPr>
        <w:t>论顺治朝清廷宴赉制度</w:t>
      </w:r>
      <w:r w:rsidR="001C5747" w:rsidRPr="00BE19E8">
        <w:rPr>
          <w:sz w:val="24"/>
          <w:szCs w:val="24"/>
          <w:lang w:val="en-US" w:eastAsia="zh-CN"/>
        </w:rPr>
        <w:t>” [</w:t>
      </w:r>
      <w:r w:rsidR="001C5747" w:rsidRPr="00BE19E8">
        <w:rPr>
          <w:sz w:val="24"/>
          <w:szCs w:val="24"/>
          <w:lang w:val="en-US"/>
        </w:rPr>
        <w:t xml:space="preserve">Concerning the system of banquets and rewards of the Qing court during the Shunzhi period]”. </w:t>
      </w:r>
      <w:r w:rsidR="005120B2" w:rsidRPr="00BE19E8">
        <w:rPr>
          <w:sz w:val="24"/>
          <w:szCs w:val="24"/>
          <w:lang w:val="en-US"/>
        </w:rPr>
        <w:t xml:space="preserve">Song Tong’s article will be published in </w:t>
      </w:r>
      <w:proofErr w:type="spellStart"/>
      <w:r w:rsidR="005A7768" w:rsidRPr="00BE19E8">
        <w:rPr>
          <w:i/>
          <w:iCs/>
          <w:sz w:val="24"/>
          <w:szCs w:val="24"/>
          <w:lang w:val="en-US"/>
        </w:rPr>
        <w:t>Manmeng</w:t>
      </w:r>
      <w:proofErr w:type="spellEnd"/>
      <w:r w:rsidR="005A7768" w:rsidRPr="00BE19E8">
        <w:rPr>
          <w:i/>
          <w:iCs/>
          <w:sz w:val="24"/>
          <w:szCs w:val="24"/>
          <w:lang w:val="en-US"/>
        </w:rPr>
        <w:t xml:space="preserve"> </w:t>
      </w:r>
      <w:proofErr w:type="spellStart"/>
      <w:r w:rsidR="005A7768" w:rsidRPr="00BE19E8">
        <w:rPr>
          <w:i/>
          <w:iCs/>
          <w:sz w:val="24"/>
          <w:szCs w:val="24"/>
          <w:lang w:val="en-US"/>
        </w:rPr>
        <w:t>dang’an</w:t>
      </w:r>
      <w:proofErr w:type="spellEnd"/>
      <w:r w:rsidR="005A7768" w:rsidRPr="00BE19E8">
        <w:rPr>
          <w:i/>
          <w:iCs/>
          <w:sz w:val="24"/>
          <w:szCs w:val="24"/>
          <w:lang w:val="en-US"/>
        </w:rPr>
        <w:t xml:space="preserve"> </w:t>
      </w:r>
      <w:proofErr w:type="spellStart"/>
      <w:r w:rsidR="005A7768" w:rsidRPr="00BE19E8">
        <w:rPr>
          <w:i/>
          <w:iCs/>
          <w:sz w:val="24"/>
          <w:szCs w:val="24"/>
          <w:lang w:val="en-US"/>
        </w:rPr>
        <w:t>yu</w:t>
      </w:r>
      <w:proofErr w:type="spellEnd"/>
      <w:r w:rsidR="005A7768" w:rsidRPr="00BE19E8">
        <w:rPr>
          <w:i/>
          <w:iCs/>
          <w:sz w:val="24"/>
          <w:szCs w:val="24"/>
          <w:lang w:val="en-US"/>
        </w:rPr>
        <w:t xml:space="preserve"> </w:t>
      </w:r>
      <w:proofErr w:type="spellStart"/>
      <w:r w:rsidR="005A7768" w:rsidRPr="00BE19E8">
        <w:rPr>
          <w:i/>
          <w:iCs/>
          <w:sz w:val="24"/>
          <w:szCs w:val="24"/>
          <w:lang w:val="en-US"/>
        </w:rPr>
        <w:t>Menggu</w:t>
      </w:r>
      <w:r w:rsidR="005120B2" w:rsidRPr="00BE19E8">
        <w:rPr>
          <w:i/>
          <w:iCs/>
          <w:sz w:val="24"/>
          <w:szCs w:val="24"/>
          <w:lang w:val="en-US"/>
        </w:rPr>
        <w:t>shi</w:t>
      </w:r>
      <w:proofErr w:type="spellEnd"/>
      <w:r w:rsidR="005A7768" w:rsidRPr="00BE19E8">
        <w:rPr>
          <w:i/>
          <w:iCs/>
          <w:sz w:val="24"/>
          <w:szCs w:val="24"/>
          <w:lang w:val="en-US"/>
        </w:rPr>
        <w:t xml:space="preserve"> </w:t>
      </w:r>
      <w:proofErr w:type="spellStart"/>
      <w:r w:rsidR="005120B2" w:rsidRPr="00BE19E8">
        <w:rPr>
          <w:i/>
          <w:iCs/>
          <w:sz w:val="24"/>
          <w:szCs w:val="24"/>
          <w:lang w:val="en-US"/>
        </w:rPr>
        <w:t>yanjiu</w:t>
      </w:r>
      <w:proofErr w:type="spellEnd"/>
      <w:r w:rsidR="005120B2" w:rsidRPr="00BE19E8">
        <w:rPr>
          <w:sz w:val="24"/>
          <w:szCs w:val="24"/>
          <w:lang w:val="en-US"/>
        </w:rPr>
        <w:t xml:space="preserve">, Shanghai: Shanghai </w:t>
      </w:r>
      <w:proofErr w:type="spellStart"/>
      <w:r w:rsidR="005120B2" w:rsidRPr="00BE19E8">
        <w:rPr>
          <w:sz w:val="24"/>
          <w:szCs w:val="24"/>
          <w:lang w:val="en-US"/>
        </w:rPr>
        <w:t>guji</w:t>
      </w:r>
      <w:proofErr w:type="spellEnd"/>
      <w:r w:rsidR="005120B2" w:rsidRPr="00BE19E8">
        <w:rPr>
          <w:sz w:val="24"/>
          <w:szCs w:val="24"/>
          <w:lang w:val="en-US"/>
        </w:rPr>
        <w:t xml:space="preserve"> </w:t>
      </w:r>
      <w:proofErr w:type="spellStart"/>
      <w:r w:rsidR="005120B2" w:rsidRPr="00BE19E8">
        <w:rPr>
          <w:sz w:val="24"/>
          <w:szCs w:val="24"/>
          <w:lang w:val="en-US"/>
        </w:rPr>
        <w:t>chubanshe</w:t>
      </w:r>
      <w:proofErr w:type="spellEnd"/>
      <w:r w:rsidR="005120B2" w:rsidRPr="00BE19E8">
        <w:rPr>
          <w:sz w:val="24"/>
          <w:szCs w:val="24"/>
          <w:lang w:val="en-US"/>
        </w:rPr>
        <w:t xml:space="preserve"> in </w:t>
      </w:r>
      <w:r w:rsidR="004F1CBD">
        <w:rPr>
          <w:sz w:val="24"/>
          <w:szCs w:val="24"/>
          <w:lang w:val="en-US"/>
        </w:rPr>
        <w:t>August</w:t>
      </w:r>
      <w:r w:rsidR="005120B2" w:rsidRPr="00BE19E8">
        <w:rPr>
          <w:sz w:val="24"/>
          <w:szCs w:val="24"/>
          <w:lang w:val="en-US"/>
        </w:rPr>
        <w:t xml:space="preserve"> 2014</w:t>
      </w:r>
      <w:r w:rsidR="001C5747" w:rsidRPr="00BE19E8">
        <w:rPr>
          <w:sz w:val="24"/>
          <w:szCs w:val="24"/>
          <w:lang w:val="en-US"/>
        </w:rPr>
        <w:t xml:space="preserve">. </w:t>
      </w:r>
    </w:p>
    <w:p w:rsidR="00A14984" w:rsidRPr="00BE19E8" w:rsidRDefault="00A14984" w:rsidP="00A14984">
      <w:pPr>
        <w:rPr>
          <w:lang w:val="en-US"/>
        </w:rPr>
      </w:pPr>
    </w:p>
    <w:p w:rsidR="00A14984" w:rsidRPr="00BE19E8" w:rsidRDefault="00A14984" w:rsidP="00A14984">
      <w:pPr>
        <w:rPr>
          <w:lang w:val="en-US"/>
        </w:rPr>
      </w:pPr>
      <w:proofErr w:type="spellStart"/>
      <w:r w:rsidRPr="00BE19E8">
        <w:rPr>
          <w:lang w:val="en-US"/>
        </w:rPr>
        <w:t>Stoler</w:t>
      </w:r>
      <w:proofErr w:type="spellEnd"/>
      <w:r w:rsidRPr="00BE19E8">
        <w:rPr>
          <w:lang w:val="en-US"/>
        </w:rPr>
        <w:t>, Ann Laura</w:t>
      </w:r>
      <w:r w:rsidR="004A081C" w:rsidRPr="00BE19E8">
        <w:rPr>
          <w:lang w:val="en-US"/>
        </w:rPr>
        <w:t xml:space="preserve"> (2009)</w:t>
      </w:r>
      <w:r w:rsidRPr="00BE19E8">
        <w:rPr>
          <w:lang w:val="en-US"/>
        </w:rPr>
        <w:t xml:space="preserve">: “Considerations on Imperial Comparisons”, in: </w:t>
      </w:r>
      <w:r w:rsidRPr="00BE19E8">
        <w:rPr>
          <w:i/>
          <w:iCs/>
          <w:lang w:val="en-US"/>
        </w:rPr>
        <w:t>Empire Speaks Out. Languages of rationalization and self-</w:t>
      </w:r>
      <w:proofErr w:type="spellStart"/>
      <w:r w:rsidRPr="00BE19E8">
        <w:rPr>
          <w:i/>
          <w:iCs/>
          <w:lang w:val="en-US"/>
        </w:rPr>
        <w:t>desciption</w:t>
      </w:r>
      <w:proofErr w:type="spellEnd"/>
      <w:r w:rsidRPr="00BE19E8">
        <w:rPr>
          <w:i/>
          <w:iCs/>
          <w:lang w:val="en-US"/>
        </w:rPr>
        <w:t xml:space="preserve"> in the Russian Empire</w:t>
      </w:r>
      <w:r w:rsidRPr="00BE19E8">
        <w:rPr>
          <w:iCs/>
          <w:lang w:val="en-US"/>
        </w:rPr>
        <w:t xml:space="preserve">, edited by </w:t>
      </w:r>
      <w:r w:rsidR="00AB4CD3" w:rsidRPr="00BE19E8">
        <w:rPr>
          <w:lang w:val="en-US"/>
        </w:rPr>
        <w:t>Ilya Gerasimov et al.</w:t>
      </w:r>
      <w:r w:rsidRPr="00BE19E8">
        <w:rPr>
          <w:lang w:val="en-US"/>
        </w:rPr>
        <w:t xml:space="preserve">, Leiden et al.: Brill, 33–55. </w:t>
      </w:r>
    </w:p>
    <w:p w:rsidR="00A14984" w:rsidRPr="00BE19E8" w:rsidRDefault="00A14984" w:rsidP="00A14984">
      <w:pPr>
        <w:rPr>
          <w:lang w:val="en-US"/>
        </w:rPr>
      </w:pPr>
    </w:p>
    <w:p w:rsidR="00E37085" w:rsidRPr="00BE19E8" w:rsidRDefault="00E37085" w:rsidP="00A14984">
      <w:pPr>
        <w:rPr>
          <w:lang w:val="en-US"/>
        </w:rPr>
      </w:pPr>
      <w:r w:rsidRPr="00BE19E8">
        <w:rPr>
          <w:lang w:val="en-US"/>
        </w:rPr>
        <w:t xml:space="preserve">Sykes, Karen (2005): </w:t>
      </w:r>
      <w:r w:rsidRPr="00BE19E8">
        <w:rPr>
          <w:i/>
          <w:iCs/>
          <w:lang w:val="en-US"/>
        </w:rPr>
        <w:t>Arguing with Anthropology. An Introduction to Critical Theories of the Gift</w:t>
      </w:r>
      <w:r w:rsidRPr="00BE19E8">
        <w:rPr>
          <w:lang w:val="en-US"/>
        </w:rPr>
        <w:t>, London and New York: Routledge.</w:t>
      </w:r>
    </w:p>
    <w:p w:rsidR="00E37085" w:rsidRPr="00BE19E8" w:rsidRDefault="00E37085" w:rsidP="00A14984">
      <w:pPr>
        <w:rPr>
          <w:lang w:val="en-US"/>
        </w:rPr>
      </w:pPr>
    </w:p>
    <w:p w:rsidR="00A14984" w:rsidRPr="00592FDB" w:rsidRDefault="00A14984" w:rsidP="00A14984">
      <w:pPr>
        <w:rPr>
          <w:lang w:val="en-US"/>
        </w:rPr>
      </w:pPr>
      <w:proofErr w:type="spellStart"/>
      <w:r w:rsidRPr="00BE19E8">
        <w:rPr>
          <w:lang w:val="en-US"/>
        </w:rPr>
        <w:t>Tighe</w:t>
      </w:r>
      <w:proofErr w:type="spellEnd"/>
      <w:r w:rsidRPr="00BE19E8">
        <w:rPr>
          <w:lang w:val="en-US"/>
        </w:rPr>
        <w:t>, Justin</w:t>
      </w:r>
      <w:r w:rsidR="004A081C" w:rsidRPr="00BE19E8">
        <w:rPr>
          <w:lang w:val="en-US"/>
        </w:rPr>
        <w:t xml:space="preserve"> (2005)</w:t>
      </w:r>
      <w:r w:rsidRPr="00BE19E8">
        <w:rPr>
          <w:lang w:val="en-US"/>
        </w:rPr>
        <w:t xml:space="preserve">: </w:t>
      </w:r>
      <w:r w:rsidRPr="00BE19E8">
        <w:rPr>
          <w:i/>
          <w:lang w:val="en-US"/>
        </w:rPr>
        <w:t xml:space="preserve">Constructing </w:t>
      </w:r>
      <w:proofErr w:type="spellStart"/>
      <w:r w:rsidRPr="00BE19E8">
        <w:rPr>
          <w:i/>
          <w:lang w:val="en-US"/>
        </w:rPr>
        <w:t>Suiyuan</w:t>
      </w:r>
      <w:proofErr w:type="spellEnd"/>
      <w:r w:rsidRPr="00BE19E8">
        <w:rPr>
          <w:i/>
          <w:lang w:val="en-US"/>
        </w:rPr>
        <w:t>. The Politics of Northwestern Territory and Development</w:t>
      </w:r>
      <w:r w:rsidRPr="00592FDB">
        <w:rPr>
          <w:i/>
          <w:lang w:val="en-US"/>
        </w:rPr>
        <w:t xml:space="preserve"> in Early Twentieth-Century China</w:t>
      </w:r>
      <w:r w:rsidRPr="00592FDB">
        <w:rPr>
          <w:lang w:val="en-US"/>
        </w:rPr>
        <w:t xml:space="preserve">, </w:t>
      </w:r>
      <w:r>
        <w:rPr>
          <w:lang w:val="en-US"/>
        </w:rPr>
        <w:t>Leiden et al.: Brill.</w:t>
      </w:r>
    </w:p>
    <w:p w:rsidR="00A14984" w:rsidRPr="00592FDB" w:rsidRDefault="00A14984" w:rsidP="00A14984">
      <w:pPr>
        <w:rPr>
          <w:lang w:val="en-US"/>
        </w:rPr>
      </w:pPr>
    </w:p>
    <w:p w:rsidR="00A14984" w:rsidRDefault="00A14984" w:rsidP="00A14984">
      <w:r w:rsidRPr="00E714E9">
        <w:t xml:space="preserve">Veit, </w:t>
      </w:r>
      <w:r>
        <w:t>Veronika</w:t>
      </w:r>
      <w:r w:rsidR="004A081C">
        <w:t xml:space="preserve"> (</w:t>
      </w:r>
      <w:r w:rsidR="004A081C" w:rsidRPr="004A081C">
        <w:t>1986</w:t>
      </w:r>
      <w:r w:rsidR="004A081C">
        <w:t>)</w:t>
      </w:r>
      <w:r>
        <w:t xml:space="preserve">: </w:t>
      </w:r>
      <w:r w:rsidRPr="00E714E9">
        <w:t>“Die mongolischen Völkerschaften</w:t>
      </w:r>
      <w:r>
        <w:t xml:space="preserve"> vom 15. Jahrhundert bis 1691</w:t>
      </w:r>
      <w:r w:rsidRPr="00E714E9">
        <w:t xml:space="preserve">”, </w:t>
      </w:r>
      <w:r>
        <w:t xml:space="preserve">in: </w:t>
      </w:r>
      <w:r w:rsidRPr="00592FDB">
        <w:rPr>
          <w:i/>
        </w:rPr>
        <w:t>Die Mongolen. Beiträge zu ihrer Geschichte und Kultur</w:t>
      </w:r>
      <w:r>
        <w:t xml:space="preserve">, </w:t>
      </w:r>
      <w:proofErr w:type="spellStart"/>
      <w:r>
        <w:t>edited</w:t>
      </w:r>
      <w:proofErr w:type="spellEnd"/>
      <w:r>
        <w:t xml:space="preserve"> </w:t>
      </w:r>
      <w:proofErr w:type="spellStart"/>
      <w:r>
        <w:t>by</w:t>
      </w:r>
      <w:proofErr w:type="spellEnd"/>
      <w:r>
        <w:t xml:space="preserve"> Michael </w:t>
      </w:r>
      <w:proofErr w:type="spellStart"/>
      <w:r>
        <w:t>Weiers</w:t>
      </w:r>
      <w:proofErr w:type="spellEnd"/>
      <w:r>
        <w:t>, Darmstadt: Wissenschaftliche Buchgesellschaft, 379-411.</w:t>
      </w:r>
    </w:p>
    <w:p w:rsidR="00A14984" w:rsidRDefault="00A14984" w:rsidP="00A14984"/>
    <w:p w:rsidR="004A081C" w:rsidRPr="004A081C" w:rsidRDefault="004A081C" w:rsidP="004A081C">
      <w:proofErr w:type="spellStart"/>
      <w:r w:rsidRPr="004A081C">
        <w:t>Weiers</w:t>
      </w:r>
      <w:proofErr w:type="spellEnd"/>
      <w:r w:rsidRPr="004A081C">
        <w:t>, Michael</w:t>
      </w:r>
      <w:r>
        <w:t xml:space="preserve"> </w:t>
      </w:r>
      <w:r w:rsidRPr="004A081C">
        <w:t xml:space="preserve">(1975): „Zwei mandschurische und mongolische Schreiben des Sure Han aus dem Jahr 1635“ </w:t>
      </w:r>
      <w:r w:rsidRPr="004A081C">
        <w:rPr>
          <w:i/>
          <w:iCs/>
        </w:rPr>
        <w:t>Zentralasiatische Studien</w:t>
      </w:r>
      <w:r w:rsidRPr="004A081C">
        <w:t xml:space="preserve"> 9, 447-477.</w:t>
      </w:r>
    </w:p>
    <w:p w:rsidR="004A081C" w:rsidRPr="004A081C" w:rsidRDefault="004A081C" w:rsidP="004A081C"/>
    <w:p w:rsidR="004A081C" w:rsidRPr="004A081C" w:rsidRDefault="004A081C" w:rsidP="004A081C">
      <w:proofErr w:type="spellStart"/>
      <w:r w:rsidRPr="004A081C">
        <w:t>Weiers</w:t>
      </w:r>
      <w:proofErr w:type="spellEnd"/>
      <w:r w:rsidRPr="004A081C">
        <w:t>, Michael</w:t>
      </w:r>
      <w:r>
        <w:t xml:space="preserve"> </w:t>
      </w:r>
      <w:r w:rsidRPr="004A081C">
        <w:t xml:space="preserve">(1979): „Mandschu-Mongolische Strafgesetze aus dem Jahre 1631 und deren Stellung in der Gesetzgebung der Mongolen“, </w:t>
      </w:r>
      <w:r w:rsidRPr="004A081C">
        <w:rPr>
          <w:i/>
          <w:iCs/>
        </w:rPr>
        <w:t>Zentralasiatische Studien</w:t>
      </w:r>
      <w:r w:rsidRPr="004A081C">
        <w:t xml:space="preserve"> 13, 137–190.</w:t>
      </w:r>
    </w:p>
    <w:p w:rsidR="004A081C" w:rsidRPr="004A081C" w:rsidRDefault="004A081C" w:rsidP="004A081C"/>
    <w:p w:rsidR="004A081C" w:rsidRPr="004A081C" w:rsidRDefault="004A081C" w:rsidP="004A081C">
      <w:proofErr w:type="spellStart"/>
      <w:r w:rsidRPr="004A081C">
        <w:t>Weiers</w:t>
      </w:r>
      <w:proofErr w:type="spellEnd"/>
      <w:r w:rsidRPr="004A081C">
        <w:t>, Michael</w:t>
      </w:r>
      <w:r>
        <w:t xml:space="preserve"> (</w:t>
      </w:r>
      <w:r w:rsidRPr="004A081C">
        <w:t>1983</w:t>
      </w:r>
      <w:r>
        <w:t>)</w:t>
      </w:r>
      <w:r w:rsidRPr="004A081C">
        <w:t>: „Der Mandschu-</w:t>
      </w:r>
      <w:proofErr w:type="spellStart"/>
      <w:r w:rsidRPr="004A081C">
        <w:t>Khortsin</w:t>
      </w:r>
      <w:proofErr w:type="spellEnd"/>
      <w:r w:rsidRPr="004A081C">
        <w:t xml:space="preserve"> Bund von 1626“, in: </w:t>
      </w:r>
      <w:r w:rsidRPr="004A081C">
        <w:rPr>
          <w:i/>
        </w:rPr>
        <w:t xml:space="preserve">Documenta </w:t>
      </w:r>
      <w:proofErr w:type="spellStart"/>
      <w:r w:rsidRPr="004A081C">
        <w:rPr>
          <w:i/>
        </w:rPr>
        <w:t>Barbarorum</w:t>
      </w:r>
      <w:proofErr w:type="spellEnd"/>
      <w:r w:rsidRPr="004A081C">
        <w:rPr>
          <w:i/>
        </w:rPr>
        <w:t xml:space="preserve">. Festschrift für Walther </w:t>
      </w:r>
      <w:proofErr w:type="spellStart"/>
      <w:r w:rsidRPr="004A081C">
        <w:rPr>
          <w:i/>
        </w:rPr>
        <w:t>Heissig</w:t>
      </w:r>
      <w:proofErr w:type="spellEnd"/>
      <w:r w:rsidRPr="004A081C">
        <w:rPr>
          <w:i/>
        </w:rPr>
        <w:t xml:space="preserve"> zum 70. Geburtstag</w:t>
      </w:r>
      <w:r w:rsidRPr="004A081C">
        <w:t xml:space="preserve">, </w:t>
      </w:r>
      <w:proofErr w:type="spellStart"/>
      <w:r w:rsidRPr="004A081C">
        <w:t>edited</w:t>
      </w:r>
      <w:proofErr w:type="spellEnd"/>
      <w:r w:rsidRPr="004A081C">
        <w:t xml:space="preserve"> </w:t>
      </w:r>
      <w:proofErr w:type="spellStart"/>
      <w:r w:rsidRPr="004A081C">
        <w:t>by</w:t>
      </w:r>
      <w:proofErr w:type="spellEnd"/>
      <w:r w:rsidRPr="004A081C">
        <w:t xml:space="preserve"> Klaus </w:t>
      </w:r>
      <w:proofErr w:type="spellStart"/>
      <w:r w:rsidRPr="004A081C">
        <w:t>Sagaster</w:t>
      </w:r>
      <w:proofErr w:type="spellEnd"/>
      <w:r w:rsidRPr="004A081C">
        <w:t xml:space="preserve"> et al., Wiesbaden: </w:t>
      </w:r>
      <w:proofErr w:type="spellStart"/>
      <w:r w:rsidRPr="004A081C">
        <w:t>Harrassowitz</w:t>
      </w:r>
      <w:proofErr w:type="spellEnd"/>
      <w:r w:rsidRPr="004A081C">
        <w:t>, 412-435.</w:t>
      </w:r>
    </w:p>
    <w:p w:rsidR="004A081C" w:rsidRPr="004A081C" w:rsidRDefault="004A081C" w:rsidP="004A081C"/>
    <w:p w:rsidR="00A14984" w:rsidRPr="00D220CD" w:rsidRDefault="00A14984" w:rsidP="00A14984">
      <w:proofErr w:type="spellStart"/>
      <w:r>
        <w:t>Weiers</w:t>
      </w:r>
      <w:proofErr w:type="spellEnd"/>
      <w:r>
        <w:t>, Michael</w:t>
      </w:r>
      <w:r w:rsidR="004A081C">
        <w:t xml:space="preserve"> </w:t>
      </w:r>
      <w:r w:rsidR="004A081C" w:rsidRPr="004A081C">
        <w:rPr>
          <w:iCs/>
        </w:rPr>
        <w:t>(1987)</w:t>
      </w:r>
      <w:r>
        <w:t xml:space="preserve">: „Der erste Schriftwechsel zwischen </w:t>
      </w:r>
      <w:proofErr w:type="spellStart"/>
      <w:r>
        <w:t>Khalkha</w:t>
      </w:r>
      <w:proofErr w:type="spellEnd"/>
      <w:r>
        <w:t xml:space="preserve"> und </w:t>
      </w:r>
      <w:proofErr w:type="spellStart"/>
      <w:r>
        <w:t>Mandschuren</w:t>
      </w:r>
      <w:proofErr w:type="spellEnd"/>
      <w:r>
        <w:t xml:space="preserve"> und seine Überlieferung“, </w:t>
      </w:r>
      <w:r w:rsidRPr="00D220CD">
        <w:rPr>
          <w:i/>
          <w:iCs/>
        </w:rPr>
        <w:t>Zentralasiatische Studien</w:t>
      </w:r>
      <w:r w:rsidRPr="00D220CD">
        <w:t xml:space="preserve"> </w:t>
      </w:r>
      <w:r>
        <w:rPr>
          <w:iCs/>
        </w:rPr>
        <w:t>20, 106-139.</w:t>
      </w:r>
    </w:p>
    <w:p w:rsidR="00A14984" w:rsidRDefault="00A14984" w:rsidP="00A14984"/>
    <w:p w:rsidR="004A081C" w:rsidRPr="004A081C" w:rsidRDefault="004A081C" w:rsidP="004A081C">
      <w:proofErr w:type="spellStart"/>
      <w:r w:rsidRPr="004A081C">
        <w:t>Weiers</w:t>
      </w:r>
      <w:proofErr w:type="spellEnd"/>
      <w:r w:rsidRPr="004A081C">
        <w:t>, Michael</w:t>
      </w:r>
      <w:r>
        <w:t xml:space="preserve"> </w:t>
      </w:r>
      <w:r w:rsidRPr="004A081C">
        <w:t xml:space="preserve">(1989/91), „Mongolenpolitik der </w:t>
      </w:r>
      <w:proofErr w:type="spellStart"/>
      <w:r w:rsidRPr="004A081C">
        <w:t>Mandschuren</w:t>
      </w:r>
      <w:proofErr w:type="spellEnd"/>
      <w:r w:rsidRPr="004A081C">
        <w:t xml:space="preserve"> und </w:t>
      </w:r>
      <w:proofErr w:type="spellStart"/>
      <w:r w:rsidRPr="004A081C">
        <w:t>Mandschurenpolitik</w:t>
      </w:r>
      <w:proofErr w:type="spellEnd"/>
      <w:r w:rsidRPr="004A081C">
        <w:t xml:space="preserve"> der Mongolen zu Beginn der </w:t>
      </w:r>
      <w:proofErr w:type="spellStart"/>
      <w:r w:rsidRPr="004A081C">
        <w:t>dreissiger</w:t>
      </w:r>
      <w:proofErr w:type="spellEnd"/>
      <w:r w:rsidRPr="004A081C">
        <w:t xml:space="preserve"> Jahre des 17. Jahrhunderts“, </w:t>
      </w:r>
      <w:r w:rsidRPr="004A081C">
        <w:rPr>
          <w:i/>
          <w:iCs/>
        </w:rPr>
        <w:t>Zentralasiatische Studien</w:t>
      </w:r>
      <w:r w:rsidRPr="004A081C">
        <w:t xml:space="preserve"> 22, 256-275.</w:t>
      </w:r>
    </w:p>
    <w:p w:rsidR="004A081C" w:rsidRPr="004A081C" w:rsidRDefault="004A081C" w:rsidP="004A081C"/>
    <w:p w:rsidR="00A14984" w:rsidRDefault="00A14984" w:rsidP="00A14984">
      <w:proofErr w:type="spellStart"/>
      <w:r w:rsidRPr="00537B17">
        <w:t>Weiers</w:t>
      </w:r>
      <w:proofErr w:type="spellEnd"/>
      <w:r w:rsidRPr="00537B17">
        <w:t>, Michael</w:t>
      </w:r>
      <w:r w:rsidR="004A081C">
        <w:t xml:space="preserve"> (</w:t>
      </w:r>
      <w:r w:rsidR="004A081C" w:rsidRPr="004A081C">
        <w:t>1998</w:t>
      </w:r>
      <w:r w:rsidR="004A081C">
        <w:t>)</w:t>
      </w:r>
      <w:r w:rsidRPr="00537B17">
        <w:t xml:space="preserve">: “Die unruhigen Grenzen des </w:t>
      </w:r>
      <w:proofErr w:type="spellStart"/>
      <w:r w:rsidRPr="00537B17">
        <w:t>Aisin</w:t>
      </w:r>
      <w:proofErr w:type="spellEnd"/>
      <w:r w:rsidRPr="00537B17">
        <w:t xml:space="preserve">-Staats Ende der 20er </w:t>
      </w:r>
      <w:r>
        <w:t xml:space="preserve">und Anfang der 30er </w:t>
      </w:r>
      <w:r w:rsidRPr="00537B17">
        <w:t xml:space="preserve">Jahre </w:t>
      </w:r>
      <w:r>
        <w:t xml:space="preserve">des 17. Jahrhunderts“, in: </w:t>
      </w:r>
      <w:r w:rsidRPr="00537B17">
        <w:rPr>
          <w:i/>
        </w:rPr>
        <w:t xml:space="preserve">Beiträge zur Geschichte, Sprache und Kultur der </w:t>
      </w:r>
      <w:proofErr w:type="spellStart"/>
      <w:r w:rsidRPr="00537B17">
        <w:rPr>
          <w:i/>
        </w:rPr>
        <w:t>Mandschuren</w:t>
      </w:r>
      <w:proofErr w:type="spellEnd"/>
      <w:r w:rsidRPr="00537B17">
        <w:rPr>
          <w:i/>
        </w:rPr>
        <w:t xml:space="preserve"> und </w:t>
      </w:r>
      <w:proofErr w:type="spellStart"/>
      <w:r w:rsidRPr="00537B17">
        <w:rPr>
          <w:i/>
        </w:rPr>
        <w:t>Sibe</w:t>
      </w:r>
      <w:proofErr w:type="spellEnd"/>
      <w:r w:rsidR="00AB4CD3">
        <w:t xml:space="preserve">, </w:t>
      </w:r>
      <w:proofErr w:type="spellStart"/>
      <w:r w:rsidR="00AB4CD3">
        <w:t>edited</w:t>
      </w:r>
      <w:proofErr w:type="spellEnd"/>
      <w:r w:rsidR="00AB4CD3">
        <w:t xml:space="preserve"> </w:t>
      </w:r>
      <w:proofErr w:type="spellStart"/>
      <w:r w:rsidR="00AB4CD3">
        <w:t>by</w:t>
      </w:r>
      <w:proofErr w:type="spellEnd"/>
      <w:r w:rsidR="00AB4CD3">
        <w:t xml:space="preserve"> M. </w:t>
      </w:r>
      <w:proofErr w:type="spellStart"/>
      <w:r w:rsidR="00AB4CD3">
        <w:t>Gimm</w:t>
      </w:r>
      <w:proofErr w:type="spellEnd"/>
      <w:r w:rsidR="00AB4CD3">
        <w:t xml:space="preserve"> et al.</w:t>
      </w:r>
      <w:r>
        <w:t>, Wiesbaden</w:t>
      </w:r>
      <w:r w:rsidR="004A081C">
        <w:t>:</w:t>
      </w:r>
      <w:r>
        <w:t xml:space="preserve"> </w:t>
      </w:r>
      <w:proofErr w:type="spellStart"/>
      <w:r>
        <w:t>Harrassowitz</w:t>
      </w:r>
      <w:proofErr w:type="spellEnd"/>
      <w:r>
        <w:t>, 193-249.</w:t>
      </w:r>
    </w:p>
    <w:p w:rsidR="00A14984" w:rsidRDefault="00A14984" w:rsidP="00A14984">
      <w:pPr>
        <w:pStyle w:val="Literatur"/>
      </w:pPr>
    </w:p>
    <w:p w:rsidR="00A14984" w:rsidRPr="00194440" w:rsidRDefault="00A14984" w:rsidP="00A14984">
      <w:pPr>
        <w:pStyle w:val="Literatur"/>
      </w:pPr>
      <w:r w:rsidRPr="00EA349D">
        <w:rPr>
          <w:i/>
        </w:rPr>
        <w:t>Xin Manhan Da Cidian</w:t>
      </w:r>
      <w:r>
        <w:rPr>
          <w:rFonts w:asciiTheme="minorEastAsia" w:eastAsiaTheme="minorEastAsia" w:hAnsiTheme="minorEastAsia" w:hint="eastAsia"/>
          <w:lang w:eastAsia="zh-CN"/>
        </w:rPr>
        <w:t>新满汉大词典</w:t>
      </w:r>
      <w:r w:rsidR="004A081C">
        <w:rPr>
          <w:rFonts w:asciiTheme="minorEastAsia" w:eastAsiaTheme="minorEastAsia" w:hAnsiTheme="minorEastAsia"/>
          <w:lang w:eastAsia="zh-CN"/>
        </w:rPr>
        <w:t xml:space="preserve"> </w:t>
      </w:r>
      <w:r w:rsidR="004A081C">
        <w:rPr>
          <w:rFonts w:eastAsiaTheme="minorEastAsia" w:cs="Times New Roman"/>
          <w:lang w:eastAsia="zh-CN"/>
        </w:rPr>
        <w:t>(</w:t>
      </w:r>
      <w:r w:rsidR="004A081C" w:rsidRPr="004A081C">
        <w:rPr>
          <w:rFonts w:eastAsiaTheme="minorEastAsia" w:cs="Times New Roman"/>
          <w:lang w:eastAsia="zh-CN"/>
        </w:rPr>
        <w:t>1994</w:t>
      </w:r>
      <w:r w:rsidR="004A081C">
        <w:rPr>
          <w:rFonts w:eastAsiaTheme="minorEastAsia" w:cs="Times New Roman"/>
          <w:lang w:eastAsia="zh-CN"/>
        </w:rPr>
        <w:t>)</w:t>
      </w:r>
      <w:r>
        <w:rPr>
          <w:rFonts w:asciiTheme="minorEastAsia" w:eastAsiaTheme="minorEastAsia" w:hAnsiTheme="minorEastAsia"/>
          <w:lang w:eastAsia="zh-CN"/>
        </w:rPr>
        <w:t>,</w:t>
      </w:r>
      <w:r>
        <w:rPr>
          <w:rFonts w:eastAsiaTheme="minorEastAsia" w:cs="Times New Roman"/>
          <w:lang w:eastAsia="zh-CN"/>
        </w:rPr>
        <w:t>edited by Hu Zengyi</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胡增益</w:t>
      </w:r>
      <w:r w:rsidRPr="00194440">
        <w:rPr>
          <w:rFonts w:eastAsiaTheme="minorEastAsia" w:cs="Times New Roman"/>
          <w:lang w:eastAsia="zh-CN"/>
        </w:rPr>
        <w:t xml:space="preserve">, </w:t>
      </w:r>
      <w:r>
        <w:rPr>
          <w:rFonts w:eastAsiaTheme="minorEastAsia" w:cs="Times New Roman"/>
          <w:lang w:eastAsia="zh-CN"/>
        </w:rPr>
        <w:t>Urumqi: Xinjiang renmin chubanshe.</w:t>
      </w:r>
    </w:p>
    <w:p w:rsidR="00A14984" w:rsidRDefault="00A14984" w:rsidP="00A14984">
      <w:pPr>
        <w:pStyle w:val="Literatur"/>
      </w:pPr>
    </w:p>
    <w:p w:rsidR="00A14984" w:rsidRDefault="00A14984" w:rsidP="00A14984">
      <w:pPr>
        <w:pStyle w:val="Literatur"/>
      </w:pPr>
      <w:r>
        <w:t xml:space="preserve">Zhang, Shuangzhi </w:t>
      </w:r>
      <w:r>
        <w:rPr>
          <w:rFonts w:eastAsiaTheme="minorEastAsia" w:hint="eastAsia"/>
          <w:lang w:eastAsia="zh-CN"/>
        </w:rPr>
        <w:t>张双智</w:t>
      </w:r>
      <w:r w:rsidR="004A081C">
        <w:rPr>
          <w:rFonts w:eastAsiaTheme="minorEastAsia" w:cs="Times New Roman"/>
          <w:lang w:eastAsia="zh-CN"/>
        </w:rPr>
        <w:t>(</w:t>
      </w:r>
      <w:r w:rsidR="004A081C" w:rsidRPr="004A081C">
        <w:rPr>
          <w:rFonts w:eastAsiaTheme="minorEastAsia" w:cs="Times New Roman"/>
          <w:lang w:eastAsia="zh-CN"/>
        </w:rPr>
        <w:t>2010</w:t>
      </w:r>
      <w:r w:rsidR="004A081C">
        <w:rPr>
          <w:rFonts w:eastAsiaTheme="minorEastAsia" w:cs="Times New Roman"/>
          <w:lang w:eastAsia="zh-CN"/>
        </w:rPr>
        <w:t>)</w:t>
      </w:r>
      <w:r>
        <w:t xml:space="preserve">: </w:t>
      </w:r>
      <w:r w:rsidRPr="00AF1BB9">
        <w:rPr>
          <w:i/>
        </w:rPr>
        <w:t>Qingdai chaojin zhidu yanjiu</w:t>
      </w:r>
      <w:r w:rsidRPr="00194440">
        <w:rPr>
          <w:rFonts w:asciiTheme="minorEastAsia" w:eastAsiaTheme="minorEastAsia" w:hAnsiTheme="minorEastAsia" w:hint="eastAsia"/>
          <w:lang w:eastAsia="zh-CN"/>
        </w:rPr>
        <w:t>清代朝觐制度研究</w:t>
      </w:r>
      <w:r w:rsidRPr="00194440">
        <w:t>,</w:t>
      </w:r>
      <w:r>
        <w:t xml:space="preserve"> Beijing: xueyuan chubanshe.</w:t>
      </w:r>
    </w:p>
    <w:p w:rsidR="00A14984" w:rsidRDefault="00A14984" w:rsidP="00A14984">
      <w:pPr>
        <w:pStyle w:val="Literatur"/>
      </w:pPr>
    </w:p>
    <w:p w:rsidR="00777D2B" w:rsidRPr="00A14984" w:rsidRDefault="00A14984" w:rsidP="00A14984">
      <w:pPr>
        <w:pStyle w:val="Literatur"/>
      </w:pPr>
      <w:r w:rsidRPr="009B6C41">
        <w:t>Zhao</w:t>
      </w:r>
      <w:r>
        <w:t>,</w:t>
      </w:r>
      <w:r w:rsidRPr="009B6C41">
        <w:t xml:space="preserve"> Yuntian </w:t>
      </w:r>
      <w:r>
        <w:rPr>
          <w:rFonts w:ascii="MingLiU" w:eastAsia="MingLiU" w:hAnsi="MingLiU" w:cs="MingLiU" w:hint="eastAsia"/>
          <w:lang w:val="en-US"/>
        </w:rPr>
        <w:t>赵</w:t>
      </w:r>
      <w:r>
        <w:rPr>
          <w:rFonts w:ascii="MS Mincho" w:eastAsia="MS Mincho" w:hAnsi="MS Mincho" w:cs="MS Mincho" w:hint="eastAsia"/>
          <w:lang w:val="en-US"/>
        </w:rPr>
        <w:t>云田</w:t>
      </w:r>
      <w:r w:rsidR="004A081C">
        <w:t>(2</w:t>
      </w:r>
      <w:r w:rsidR="004A081C" w:rsidRPr="004A081C">
        <w:t>002</w:t>
      </w:r>
      <w:r w:rsidR="004A081C">
        <w:t>):</w:t>
      </w:r>
      <w:r w:rsidRPr="009B6C41">
        <w:t xml:space="preserve"> </w:t>
      </w:r>
      <w:r w:rsidRPr="009B6C41">
        <w:rPr>
          <w:i/>
        </w:rPr>
        <w:t>Zhongguo zhibian jigou shi</w:t>
      </w:r>
      <w:r w:rsidRPr="009B6C41">
        <w:t xml:space="preserve"> </w:t>
      </w:r>
      <w:r>
        <w:rPr>
          <w:rFonts w:hint="eastAsia"/>
          <w:lang w:val="en-US"/>
        </w:rPr>
        <w:t>中国治</w:t>
      </w:r>
      <w:r>
        <w:rPr>
          <w:rFonts w:ascii="MingLiU" w:eastAsia="MingLiU" w:hAnsi="MingLiU" w:cs="MingLiU" w:hint="eastAsia"/>
          <w:lang w:val="en-US"/>
        </w:rPr>
        <w:t>边</w:t>
      </w:r>
      <w:r>
        <w:rPr>
          <w:rFonts w:ascii="MS Mincho" w:eastAsia="MS Mincho" w:hAnsi="MS Mincho" w:cs="MS Mincho" w:hint="eastAsia"/>
          <w:lang w:val="en-US"/>
        </w:rPr>
        <w:t>机构史</w:t>
      </w:r>
      <w:r>
        <w:t>,</w:t>
      </w:r>
      <w:r w:rsidRPr="009B6C41">
        <w:t xml:space="preserve"> Beijing: </w:t>
      </w:r>
      <w:r>
        <w:t>Zhongguo zangxue chubanshe.</w:t>
      </w:r>
    </w:p>
    <w:sectPr w:rsidR="00777D2B" w:rsidRPr="00A14984" w:rsidSect="00316B19">
      <w:footerReference w:type="default" r:id="rId11"/>
      <w:endnotePr>
        <w:numFmt w:val="decimal"/>
      </w:endnotePr>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3D" w:rsidRDefault="00F4493D" w:rsidP="007F791E">
      <w:r>
        <w:separator/>
      </w:r>
    </w:p>
  </w:endnote>
  <w:endnote w:type="continuationSeparator" w:id="0">
    <w:p w:rsidR="00F4493D" w:rsidRDefault="00F4493D" w:rsidP="007F791E">
      <w:r>
        <w:continuationSeparator/>
      </w:r>
    </w:p>
  </w:endnote>
  <w:endnote w:id="1">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There can be no single accurate translation for this office, because its Chinese, Manchu and Mongol names are not equivalents, but convey different interpretations of this office’s responsibilities. For two recent discussions of the difficulties to find an English translation for this office see Di Cosmo </w:t>
      </w:r>
      <w:r>
        <w:rPr>
          <w:sz w:val="24"/>
          <w:szCs w:val="24"/>
          <w:lang w:val="en-US"/>
        </w:rPr>
        <w:t>(</w:t>
      </w:r>
      <w:r w:rsidRPr="0036392F">
        <w:rPr>
          <w:sz w:val="24"/>
          <w:szCs w:val="24"/>
          <w:lang w:val="en-US"/>
        </w:rPr>
        <w:t>2012: 182-184</w:t>
      </w:r>
      <w:r>
        <w:rPr>
          <w:sz w:val="24"/>
          <w:szCs w:val="24"/>
          <w:lang w:val="en-US"/>
        </w:rPr>
        <w:t>)</w:t>
      </w:r>
      <w:r w:rsidRPr="0036392F">
        <w:rPr>
          <w:sz w:val="24"/>
          <w:szCs w:val="24"/>
          <w:lang w:val="en-US"/>
        </w:rPr>
        <w:t xml:space="preserve"> and Chia </w:t>
      </w:r>
      <w:r>
        <w:rPr>
          <w:sz w:val="24"/>
          <w:szCs w:val="24"/>
          <w:lang w:val="en-US"/>
        </w:rPr>
        <w:t>(</w:t>
      </w:r>
      <w:r w:rsidRPr="0036392F">
        <w:rPr>
          <w:sz w:val="24"/>
          <w:szCs w:val="24"/>
          <w:lang w:val="en-US"/>
        </w:rPr>
        <w:t>2012: 2</w:t>
      </w:r>
      <w:r>
        <w:rPr>
          <w:sz w:val="24"/>
          <w:szCs w:val="24"/>
          <w:lang w:val="en-US"/>
        </w:rPr>
        <w:t>)</w:t>
      </w:r>
      <w:r w:rsidRPr="0036392F">
        <w:rPr>
          <w:sz w:val="24"/>
          <w:szCs w:val="24"/>
          <w:lang w:val="en-US"/>
        </w:rPr>
        <w:t>.</w:t>
      </w:r>
    </w:p>
  </w:endnote>
  <w:endnote w:id="2">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w:t>
      </w:r>
      <w:proofErr w:type="spellStart"/>
      <w:r w:rsidRPr="0036392F">
        <w:rPr>
          <w:sz w:val="24"/>
          <w:szCs w:val="24"/>
          <w:lang w:val="en-US"/>
        </w:rPr>
        <w:t>Stoler</w:t>
      </w:r>
      <w:proofErr w:type="spellEnd"/>
      <w:r w:rsidRPr="0036392F">
        <w:rPr>
          <w:sz w:val="24"/>
          <w:szCs w:val="24"/>
          <w:lang w:val="en-US"/>
        </w:rPr>
        <w:t xml:space="preserve"> (2009: 41/42) sees this as a characteristic of imperial formations.</w:t>
      </w:r>
    </w:p>
  </w:endnote>
  <w:endnote w:id="3">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Later Chinese sources refer to these visits as </w:t>
      </w:r>
      <w:proofErr w:type="spellStart"/>
      <w:r w:rsidRPr="0036392F">
        <w:rPr>
          <w:i/>
          <w:sz w:val="24"/>
          <w:szCs w:val="24"/>
          <w:lang w:val="en-US"/>
        </w:rPr>
        <w:t>chaojin</w:t>
      </w:r>
      <w:proofErr w:type="spellEnd"/>
      <w:r w:rsidRPr="0036392F">
        <w:rPr>
          <w:i/>
          <w:sz w:val="24"/>
          <w:szCs w:val="24"/>
          <w:lang w:val="en-US"/>
        </w:rPr>
        <w:t xml:space="preserve">, </w:t>
      </w:r>
      <w:r w:rsidRPr="0036392F">
        <w:rPr>
          <w:sz w:val="24"/>
          <w:szCs w:val="24"/>
          <w:lang w:val="en-US"/>
        </w:rPr>
        <w:t xml:space="preserve">which can be translated as “pilgrimage to the emperor” (Chia 1993: 64). Manchu sources of the Shunzhi period refer to these visits as </w:t>
      </w:r>
      <w:proofErr w:type="spellStart"/>
      <w:r w:rsidRPr="0036392F">
        <w:rPr>
          <w:i/>
          <w:sz w:val="24"/>
          <w:szCs w:val="24"/>
          <w:lang w:val="en-US"/>
        </w:rPr>
        <w:t>aniya</w:t>
      </w:r>
      <w:proofErr w:type="spellEnd"/>
      <w:r w:rsidRPr="0036392F">
        <w:rPr>
          <w:i/>
          <w:sz w:val="24"/>
          <w:szCs w:val="24"/>
          <w:lang w:val="en-US"/>
        </w:rPr>
        <w:t xml:space="preserve"> </w:t>
      </w:r>
      <w:proofErr w:type="spellStart"/>
      <w:r w:rsidRPr="0036392F">
        <w:rPr>
          <w:i/>
          <w:sz w:val="24"/>
          <w:szCs w:val="24"/>
          <w:lang w:val="en-US"/>
        </w:rPr>
        <w:t>doroi</w:t>
      </w:r>
      <w:proofErr w:type="spellEnd"/>
      <w:r w:rsidRPr="0036392F">
        <w:rPr>
          <w:i/>
          <w:sz w:val="24"/>
          <w:szCs w:val="24"/>
          <w:lang w:val="en-US"/>
        </w:rPr>
        <w:t xml:space="preserve"> </w:t>
      </w:r>
      <w:proofErr w:type="spellStart"/>
      <w:r w:rsidRPr="0036392F">
        <w:rPr>
          <w:i/>
          <w:sz w:val="24"/>
          <w:szCs w:val="24"/>
          <w:lang w:val="en-US"/>
        </w:rPr>
        <w:t>jimbi</w:t>
      </w:r>
      <w:proofErr w:type="spellEnd"/>
      <w:r w:rsidRPr="0036392F">
        <w:rPr>
          <w:sz w:val="24"/>
          <w:szCs w:val="24"/>
          <w:lang w:val="en-US"/>
        </w:rPr>
        <w:t xml:space="preserve"> “come for the New </w:t>
      </w:r>
      <w:proofErr w:type="spellStart"/>
      <w:r w:rsidRPr="0036392F">
        <w:rPr>
          <w:sz w:val="24"/>
          <w:szCs w:val="24"/>
          <w:lang w:val="en-US"/>
        </w:rPr>
        <w:t>Years’s</w:t>
      </w:r>
      <w:proofErr w:type="spellEnd"/>
      <w:r w:rsidRPr="0036392F">
        <w:rPr>
          <w:sz w:val="24"/>
          <w:szCs w:val="24"/>
          <w:lang w:val="en-US"/>
        </w:rPr>
        <w:t xml:space="preserve"> ceremonies” (</w:t>
      </w:r>
      <w:r w:rsidRPr="0036392F">
        <w:rPr>
          <w:i/>
          <w:sz w:val="24"/>
          <w:szCs w:val="24"/>
          <w:lang w:val="en-US"/>
        </w:rPr>
        <w:t xml:space="preserve">Qing </w:t>
      </w:r>
      <w:proofErr w:type="spellStart"/>
      <w:r w:rsidRPr="0036392F">
        <w:rPr>
          <w:i/>
          <w:sz w:val="24"/>
          <w:szCs w:val="24"/>
          <w:lang w:val="en-US"/>
        </w:rPr>
        <w:t>chao</w:t>
      </w:r>
      <w:proofErr w:type="spellEnd"/>
      <w:r w:rsidRPr="0036392F">
        <w:rPr>
          <w:i/>
          <w:sz w:val="24"/>
          <w:szCs w:val="24"/>
          <w:lang w:val="en-US"/>
        </w:rPr>
        <w:t xml:space="preserve"> </w:t>
      </w:r>
      <w:proofErr w:type="spellStart"/>
      <w:r w:rsidRPr="0036392F">
        <w:rPr>
          <w:i/>
          <w:sz w:val="24"/>
          <w:szCs w:val="24"/>
          <w:lang w:val="en-US"/>
        </w:rPr>
        <w:t>qianqi</w:t>
      </w:r>
      <w:proofErr w:type="spellEnd"/>
      <w:r w:rsidRPr="0036392F">
        <w:rPr>
          <w:i/>
          <w:sz w:val="24"/>
          <w:szCs w:val="24"/>
          <w:lang w:val="en-US"/>
        </w:rPr>
        <w:t xml:space="preserve"> </w:t>
      </w:r>
      <w:proofErr w:type="spellStart"/>
      <w:r w:rsidRPr="0036392F">
        <w:rPr>
          <w:i/>
          <w:sz w:val="24"/>
          <w:szCs w:val="24"/>
          <w:lang w:val="en-US"/>
        </w:rPr>
        <w:t>Lifanyuan</w:t>
      </w:r>
      <w:proofErr w:type="spellEnd"/>
      <w:r w:rsidRPr="0036392F">
        <w:rPr>
          <w:iCs/>
          <w:sz w:val="24"/>
          <w:szCs w:val="24"/>
          <w:lang w:val="en-US"/>
        </w:rPr>
        <w:t xml:space="preserve"> 2010:</w:t>
      </w:r>
      <w:r w:rsidRPr="0036392F">
        <w:rPr>
          <w:sz w:val="24"/>
          <w:szCs w:val="24"/>
          <w:lang w:val="en-US"/>
        </w:rPr>
        <w:t xml:space="preserve"> vol. 1, 141). For Chinese sources concerning Mongols visiting the court see Zhang </w:t>
      </w:r>
      <w:r>
        <w:rPr>
          <w:sz w:val="24"/>
          <w:szCs w:val="24"/>
          <w:lang w:val="en-US"/>
        </w:rPr>
        <w:t>(</w:t>
      </w:r>
      <w:r w:rsidRPr="0036392F">
        <w:rPr>
          <w:sz w:val="24"/>
          <w:szCs w:val="24"/>
          <w:lang w:val="en-US"/>
        </w:rPr>
        <w:t>2010: 33-108</w:t>
      </w:r>
      <w:r>
        <w:rPr>
          <w:sz w:val="24"/>
          <w:szCs w:val="24"/>
          <w:lang w:val="en-US"/>
        </w:rPr>
        <w:t>).</w:t>
      </w:r>
    </w:p>
  </w:endnote>
  <w:endnote w:id="4">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See </w:t>
      </w:r>
      <w:r w:rsidRPr="0036392F">
        <w:rPr>
          <w:i/>
          <w:sz w:val="24"/>
          <w:szCs w:val="24"/>
          <w:lang w:val="en-US"/>
        </w:rPr>
        <w:t xml:space="preserve">Qing </w:t>
      </w:r>
      <w:proofErr w:type="spellStart"/>
      <w:r w:rsidRPr="0036392F">
        <w:rPr>
          <w:i/>
          <w:sz w:val="24"/>
          <w:szCs w:val="24"/>
          <w:lang w:val="en-US"/>
        </w:rPr>
        <w:t>chao</w:t>
      </w:r>
      <w:proofErr w:type="spellEnd"/>
      <w:r w:rsidRPr="0036392F">
        <w:rPr>
          <w:i/>
          <w:sz w:val="24"/>
          <w:szCs w:val="24"/>
          <w:lang w:val="en-US"/>
        </w:rPr>
        <w:t xml:space="preserve"> </w:t>
      </w:r>
      <w:proofErr w:type="spellStart"/>
      <w:r w:rsidRPr="0036392F">
        <w:rPr>
          <w:i/>
          <w:sz w:val="24"/>
          <w:szCs w:val="24"/>
          <w:lang w:val="en-US"/>
        </w:rPr>
        <w:t>qianqi</w:t>
      </w:r>
      <w:proofErr w:type="spellEnd"/>
      <w:r w:rsidRPr="0036392F">
        <w:rPr>
          <w:i/>
          <w:sz w:val="24"/>
          <w:szCs w:val="24"/>
          <w:lang w:val="en-US"/>
        </w:rPr>
        <w:t xml:space="preserve"> </w:t>
      </w:r>
      <w:proofErr w:type="spellStart"/>
      <w:r w:rsidRPr="0036392F">
        <w:rPr>
          <w:i/>
          <w:sz w:val="24"/>
          <w:szCs w:val="24"/>
          <w:lang w:val="en-US"/>
        </w:rPr>
        <w:t>Lifanyuan</w:t>
      </w:r>
      <w:proofErr w:type="spellEnd"/>
      <w:r w:rsidRPr="0036392F">
        <w:rPr>
          <w:sz w:val="24"/>
          <w:szCs w:val="24"/>
          <w:lang w:val="en-US"/>
        </w:rPr>
        <w:t xml:space="preserve"> 2010. On the amount of legal material in this collection see </w:t>
      </w:r>
      <w:proofErr w:type="spellStart"/>
      <w:r w:rsidRPr="0036392F">
        <w:rPr>
          <w:sz w:val="24"/>
          <w:szCs w:val="24"/>
          <w:lang w:val="en-US"/>
        </w:rPr>
        <w:t>Heuschert-Laage</w:t>
      </w:r>
      <w:proofErr w:type="spellEnd"/>
      <w:r w:rsidRPr="0036392F">
        <w:rPr>
          <w:sz w:val="24"/>
          <w:szCs w:val="24"/>
          <w:lang w:val="en-US"/>
        </w:rPr>
        <w:t xml:space="preserve"> </w:t>
      </w:r>
      <w:r>
        <w:rPr>
          <w:sz w:val="24"/>
          <w:szCs w:val="24"/>
          <w:lang w:val="en-US"/>
        </w:rPr>
        <w:t>(</w:t>
      </w:r>
      <w:r w:rsidRPr="0036392F">
        <w:rPr>
          <w:sz w:val="24"/>
          <w:szCs w:val="24"/>
          <w:lang w:val="en-US"/>
        </w:rPr>
        <w:t>2012</w:t>
      </w:r>
      <w:r>
        <w:rPr>
          <w:sz w:val="24"/>
          <w:szCs w:val="24"/>
          <w:lang w:val="en-US"/>
        </w:rPr>
        <w:t>)</w:t>
      </w:r>
      <w:r w:rsidRPr="0036392F">
        <w:rPr>
          <w:sz w:val="24"/>
          <w:szCs w:val="24"/>
          <w:lang w:val="en-US"/>
        </w:rPr>
        <w:t>.</w:t>
      </w:r>
    </w:p>
  </w:endnote>
  <w:endnote w:id="5">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If the court, as in the case of the </w:t>
      </w:r>
      <w:proofErr w:type="spellStart"/>
      <w:r w:rsidRPr="0036392F">
        <w:rPr>
          <w:sz w:val="24"/>
          <w:szCs w:val="24"/>
          <w:lang w:val="en-US"/>
        </w:rPr>
        <w:t>Tümed</w:t>
      </w:r>
      <w:proofErr w:type="spellEnd"/>
      <w:r w:rsidRPr="0036392F">
        <w:rPr>
          <w:sz w:val="24"/>
          <w:szCs w:val="24"/>
          <w:lang w:val="en-US"/>
        </w:rPr>
        <w:t xml:space="preserve"> and the </w:t>
      </w:r>
      <w:proofErr w:type="spellStart"/>
      <w:r w:rsidRPr="0036392F">
        <w:rPr>
          <w:sz w:val="24"/>
          <w:szCs w:val="24"/>
          <w:lang w:val="en-US"/>
        </w:rPr>
        <w:t>Čaqar</w:t>
      </w:r>
      <w:proofErr w:type="spellEnd"/>
      <w:r w:rsidRPr="0036392F">
        <w:rPr>
          <w:sz w:val="24"/>
          <w:szCs w:val="24"/>
          <w:lang w:val="en-US"/>
        </w:rPr>
        <w:t xml:space="preserve"> Mongols, had reservations about the loyalty of a confederation’s leadership, it would not acknowledge members of its elite as </w:t>
      </w:r>
      <w:proofErr w:type="spellStart"/>
      <w:r w:rsidRPr="0036392F">
        <w:rPr>
          <w:i/>
          <w:sz w:val="24"/>
          <w:szCs w:val="24"/>
          <w:lang w:val="en-US"/>
        </w:rPr>
        <w:t>jasaγ</w:t>
      </w:r>
      <w:proofErr w:type="spellEnd"/>
      <w:r w:rsidRPr="0036392F">
        <w:rPr>
          <w:sz w:val="24"/>
          <w:szCs w:val="24"/>
          <w:lang w:val="en-US"/>
        </w:rPr>
        <w:t>, but designate imperial appointees (</w:t>
      </w:r>
      <w:proofErr w:type="spellStart"/>
      <w:r w:rsidRPr="0036392F">
        <w:rPr>
          <w:sz w:val="24"/>
          <w:szCs w:val="24"/>
          <w:lang w:val="en-US"/>
        </w:rPr>
        <w:t>Tighe</w:t>
      </w:r>
      <w:proofErr w:type="spellEnd"/>
      <w:r w:rsidRPr="0036392F">
        <w:rPr>
          <w:sz w:val="24"/>
          <w:szCs w:val="24"/>
          <w:lang w:val="en-US"/>
        </w:rPr>
        <w:t xml:space="preserve"> 2005: 39-41).</w:t>
      </w:r>
    </w:p>
  </w:endnote>
  <w:endnote w:id="6">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For the </w:t>
      </w:r>
      <w:proofErr w:type="spellStart"/>
      <w:r w:rsidRPr="0036392F">
        <w:rPr>
          <w:sz w:val="24"/>
          <w:szCs w:val="24"/>
          <w:lang w:val="en-US"/>
        </w:rPr>
        <w:t>Oirat</w:t>
      </w:r>
      <w:proofErr w:type="spellEnd"/>
      <w:r w:rsidRPr="0036392F">
        <w:rPr>
          <w:sz w:val="24"/>
          <w:szCs w:val="24"/>
          <w:lang w:val="en-US"/>
        </w:rPr>
        <w:t xml:space="preserve"> campaigns see Perdue </w:t>
      </w:r>
      <w:r>
        <w:rPr>
          <w:sz w:val="24"/>
          <w:szCs w:val="24"/>
          <w:lang w:val="en-US"/>
        </w:rPr>
        <w:t>(</w:t>
      </w:r>
      <w:r w:rsidRPr="0036392F">
        <w:rPr>
          <w:sz w:val="24"/>
          <w:szCs w:val="24"/>
          <w:lang w:val="en-US"/>
        </w:rPr>
        <w:t>2005: 133-299</w:t>
      </w:r>
      <w:r>
        <w:rPr>
          <w:sz w:val="24"/>
          <w:szCs w:val="24"/>
          <w:lang w:val="en-US"/>
        </w:rPr>
        <w:t>)</w:t>
      </w:r>
      <w:r w:rsidRPr="0036392F">
        <w:rPr>
          <w:sz w:val="24"/>
          <w:szCs w:val="24"/>
          <w:lang w:val="en-US"/>
        </w:rPr>
        <w:t xml:space="preserve">. In 1771, the </w:t>
      </w:r>
      <w:proofErr w:type="spellStart"/>
      <w:r w:rsidRPr="0036392F">
        <w:rPr>
          <w:sz w:val="24"/>
          <w:szCs w:val="24"/>
          <w:lang w:val="en-US"/>
        </w:rPr>
        <w:t>Torγot</w:t>
      </w:r>
      <w:proofErr w:type="spellEnd"/>
      <w:r w:rsidR="00087096">
        <w:rPr>
          <w:sz w:val="24"/>
          <w:szCs w:val="24"/>
          <w:lang w:val="en-US"/>
        </w:rPr>
        <w:t xml:space="preserve"> Mongols, who in the 1630</w:t>
      </w:r>
      <w:r w:rsidRPr="0036392F">
        <w:rPr>
          <w:sz w:val="24"/>
          <w:szCs w:val="24"/>
          <w:lang w:val="en-US"/>
        </w:rPr>
        <w:t>s had moved to the lower Volga region, returned and were integrated into the Qing state.</w:t>
      </w:r>
    </w:p>
  </w:endnote>
  <w:endnote w:id="7">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Nicola Di Cosmo argues that “the once allied southern Mongols were turned into ‘vassals’ or ‘surrendered people’” (2012: 180). The concepts of lord/vassal versus patron/client relationships are very close and developed in the different contexts of medieval European and Roman society. Both are based on obligatory reciprocity and describe patterns of unequal power relations. However, because patronage has been identified as an instrument used in processes of state building and territorial integration in early modern time (Asch et al. 2011</w:t>
      </w:r>
      <w:r w:rsidR="006153FC">
        <w:rPr>
          <w:sz w:val="24"/>
          <w:szCs w:val="24"/>
          <w:lang w:val="en-US"/>
        </w:rPr>
        <w:t xml:space="preserve">; Emich et al. 2005; Kettering </w:t>
      </w:r>
      <w:r w:rsidRPr="0036392F">
        <w:rPr>
          <w:sz w:val="24"/>
          <w:szCs w:val="24"/>
          <w:lang w:val="en-US"/>
        </w:rPr>
        <w:t>2002), I will stick to this term.</w:t>
      </w:r>
    </w:p>
  </w:endnote>
  <w:endnote w:id="8">
    <w:p w:rsidR="00106337" w:rsidRPr="0036392F" w:rsidRDefault="00106337">
      <w:pPr>
        <w:pStyle w:val="Endnotentext"/>
        <w:rPr>
          <w:sz w:val="24"/>
          <w:szCs w:val="24"/>
          <w:lang w:val="en-US"/>
        </w:rPr>
      </w:pPr>
      <w:r w:rsidRPr="00BE19E8">
        <w:rPr>
          <w:rStyle w:val="Endnotenzeichen"/>
          <w:sz w:val="24"/>
          <w:szCs w:val="24"/>
        </w:rPr>
        <w:endnoteRef/>
      </w:r>
      <w:r w:rsidR="00087096" w:rsidRPr="00BE19E8">
        <w:rPr>
          <w:sz w:val="24"/>
          <w:szCs w:val="24"/>
          <w:lang w:val="en-US"/>
        </w:rPr>
        <w:t xml:space="preserve"> At that </w:t>
      </w:r>
      <w:r w:rsidRPr="00BE19E8">
        <w:rPr>
          <w:sz w:val="24"/>
          <w:szCs w:val="24"/>
          <w:lang w:val="en-US"/>
        </w:rPr>
        <w:t>time, Manchus</w:t>
      </w:r>
      <w:r w:rsidRPr="0036392F">
        <w:rPr>
          <w:sz w:val="24"/>
          <w:szCs w:val="24"/>
          <w:lang w:val="en-US"/>
        </w:rPr>
        <w:t xml:space="preserve"> still referred to themselves as </w:t>
      </w:r>
      <w:proofErr w:type="spellStart"/>
      <w:r w:rsidRPr="0036392F">
        <w:rPr>
          <w:sz w:val="24"/>
          <w:szCs w:val="24"/>
          <w:lang w:val="en-US"/>
        </w:rPr>
        <w:t>Jusen</w:t>
      </w:r>
      <w:proofErr w:type="spellEnd"/>
      <w:r w:rsidRPr="0036392F">
        <w:rPr>
          <w:sz w:val="24"/>
          <w:szCs w:val="24"/>
          <w:lang w:val="en-US"/>
        </w:rPr>
        <w:t>.</w:t>
      </w:r>
    </w:p>
  </w:endnote>
  <w:endnote w:id="9">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In a letter to the </w:t>
      </w:r>
      <w:proofErr w:type="spellStart"/>
      <w:r w:rsidRPr="0036392F">
        <w:rPr>
          <w:sz w:val="24"/>
          <w:szCs w:val="24"/>
          <w:lang w:val="en-US"/>
        </w:rPr>
        <w:t>Urad</w:t>
      </w:r>
      <w:proofErr w:type="spellEnd"/>
      <w:r w:rsidRPr="0036392F">
        <w:rPr>
          <w:sz w:val="24"/>
          <w:szCs w:val="24"/>
          <w:lang w:val="en-US"/>
        </w:rPr>
        <w:t xml:space="preserve"> Mongols from February 1632, Hong </w:t>
      </w:r>
      <w:proofErr w:type="spellStart"/>
      <w:r w:rsidRPr="0036392F">
        <w:rPr>
          <w:sz w:val="24"/>
          <w:szCs w:val="24"/>
          <w:lang w:val="en-US"/>
        </w:rPr>
        <w:t>Taiji</w:t>
      </w:r>
      <w:proofErr w:type="spellEnd"/>
      <w:r w:rsidRPr="0036392F">
        <w:rPr>
          <w:sz w:val="24"/>
          <w:szCs w:val="24"/>
          <w:lang w:val="en-US"/>
        </w:rPr>
        <w:t xml:space="preserve"> asks “who will be the one to protect you so that you can move on without hurry and go your own way without being taken [by force]?” (</w:t>
      </w:r>
      <w:proofErr w:type="spellStart"/>
      <w:r w:rsidRPr="0036392F">
        <w:rPr>
          <w:sz w:val="24"/>
          <w:szCs w:val="24"/>
          <w:lang w:val="en-US"/>
        </w:rPr>
        <w:t>Weiers</w:t>
      </w:r>
      <w:proofErr w:type="spellEnd"/>
      <w:r w:rsidRPr="0036392F">
        <w:rPr>
          <w:sz w:val="24"/>
          <w:szCs w:val="24"/>
          <w:lang w:val="en-US"/>
        </w:rPr>
        <w:t xml:space="preserve"> 1989/91: 270/271).</w:t>
      </w:r>
    </w:p>
  </w:endnote>
  <w:endnote w:id="10">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For Hong </w:t>
      </w:r>
      <w:proofErr w:type="spellStart"/>
      <w:r w:rsidRPr="0036392F">
        <w:rPr>
          <w:sz w:val="24"/>
          <w:szCs w:val="24"/>
          <w:lang w:val="en-US"/>
        </w:rPr>
        <w:t>Taiji’s</w:t>
      </w:r>
      <w:proofErr w:type="spellEnd"/>
      <w:r w:rsidRPr="0036392F">
        <w:rPr>
          <w:sz w:val="24"/>
          <w:szCs w:val="24"/>
          <w:lang w:val="en-US"/>
        </w:rPr>
        <w:t xml:space="preserve"> efforts towards standardization, which were in parallel with introducing the new name “</w:t>
      </w:r>
      <w:proofErr w:type="spellStart"/>
      <w:r w:rsidRPr="0036392F">
        <w:rPr>
          <w:sz w:val="24"/>
          <w:szCs w:val="24"/>
          <w:lang w:val="en-US"/>
        </w:rPr>
        <w:t>Daicing</w:t>
      </w:r>
      <w:proofErr w:type="spellEnd"/>
      <w:r w:rsidRPr="0036392F">
        <w:rPr>
          <w:sz w:val="24"/>
          <w:szCs w:val="24"/>
          <w:lang w:val="en-US"/>
        </w:rPr>
        <w:t xml:space="preserve">” for the Manchu state and adopting a new title of reign, see </w:t>
      </w:r>
      <w:proofErr w:type="spellStart"/>
      <w:r w:rsidRPr="0036392F">
        <w:rPr>
          <w:sz w:val="24"/>
          <w:szCs w:val="24"/>
          <w:lang w:val="en-US"/>
        </w:rPr>
        <w:t>Heuschert-Laage</w:t>
      </w:r>
      <w:proofErr w:type="spellEnd"/>
      <w:r w:rsidRPr="0036392F">
        <w:rPr>
          <w:sz w:val="24"/>
          <w:szCs w:val="24"/>
          <w:lang w:val="en-US"/>
        </w:rPr>
        <w:t xml:space="preserve"> 2011.</w:t>
      </w:r>
    </w:p>
  </w:endnote>
  <w:endnote w:id="11">
    <w:p w:rsidR="00106337" w:rsidRPr="0036392F" w:rsidRDefault="00106337">
      <w:pPr>
        <w:pStyle w:val="Endnotentext"/>
        <w:rPr>
          <w:sz w:val="24"/>
          <w:szCs w:val="24"/>
        </w:rPr>
      </w:pPr>
      <w:r w:rsidRPr="0036392F">
        <w:rPr>
          <w:rStyle w:val="Endnotenzeichen"/>
          <w:sz w:val="24"/>
          <w:szCs w:val="24"/>
        </w:rPr>
        <w:endnoteRef/>
      </w:r>
      <w:r w:rsidRPr="0036392F">
        <w:rPr>
          <w:sz w:val="24"/>
          <w:szCs w:val="24"/>
        </w:rPr>
        <w:t xml:space="preserve"> </w:t>
      </w:r>
      <w:proofErr w:type="spellStart"/>
      <w:r w:rsidRPr="0036392F">
        <w:rPr>
          <w:sz w:val="24"/>
          <w:szCs w:val="24"/>
        </w:rPr>
        <w:t>Manchu</w:t>
      </w:r>
      <w:proofErr w:type="spellEnd"/>
      <w:r w:rsidRPr="0036392F">
        <w:rPr>
          <w:sz w:val="24"/>
          <w:szCs w:val="24"/>
        </w:rPr>
        <w:t xml:space="preserve"> </w:t>
      </w:r>
      <w:proofErr w:type="spellStart"/>
      <w:r w:rsidRPr="0036392F">
        <w:rPr>
          <w:sz w:val="24"/>
          <w:szCs w:val="24"/>
        </w:rPr>
        <w:t>text</w:t>
      </w:r>
      <w:proofErr w:type="spellEnd"/>
      <w:r w:rsidRPr="0036392F">
        <w:rPr>
          <w:sz w:val="24"/>
          <w:szCs w:val="24"/>
        </w:rPr>
        <w:t xml:space="preserve"> in </w:t>
      </w:r>
      <w:r w:rsidRPr="0036392F">
        <w:rPr>
          <w:i/>
          <w:sz w:val="24"/>
          <w:szCs w:val="24"/>
        </w:rPr>
        <w:t xml:space="preserve">Jiu </w:t>
      </w:r>
      <w:proofErr w:type="spellStart"/>
      <w:r w:rsidRPr="0036392F">
        <w:rPr>
          <w:i/>
          <w:sz w:val="24"/>
          <w:szCs w:val="24"/>
        </w:rPr>
        <w:t>Manzhou</w:t>
      </w:r>
      <w:proofErr w:type="spellEnd"/>
      <w:r w:rsidRPr="0036392F">
        <w:rPr>
          <w:i/>
          <w:sz w:val="24"/>
          <w:szCs w:val="24"/>
        </w:rPr>
        <w:t xml:space="preserve"> Dang</w:t>
      </w:r>
      <w:r w:rsidRPr="0036392F">
        <w:rPr>
          <w:iCs/>
          <w:sz w:val="24"/>
          <w:szCs w:val="24"/>
        </w:rPr>
        <w:t xml:space="preserve"> </w:t>
      </w:r>
      <w:r>
        <w:rPr>
          <w:iCs/>
          <w:sz w:val="24"/>
          <w:szCs w:val="24"/>
        </w:rPr>
        <w:t>(</w:t>
      </w:r>
      <w:r w:rsidRPr="0036392F">
        <w:rPr>
          <w:iCs/>
          <w:sz w:val="24"/>
          <w:szCs w:val="24"/>
        </w:rPr>
        <w:t>1969</w:t>
      </w:r>
      <w:r>
        <w:rPr>
          <w:iCs/>
          <w:sz w:val="24"/>
          <w:szCs w:val="24"/>
        </w:rPr>
        <w:t>)</w:t>
      </w:r>
      <w:r w:rsidRPr="0036392F">
        <w:rPr>
          <w:iCs/>
          <w:sz w:val="24"/>
          <w:szCs w:val="24"/>
        </w:rPr>
        <w:t>:</w:t>
      </w:r>
      <w:r w:rsidRPr="0036392F">
        <w:rPr>
          <w:sz w:val="24"/>
          <w:szCs w:val="24"/>
        </w:rPr>
        <w:t xml:space="preserve"> fol.3377. </w:t>
      </w:r>
      <w:r w:rsidRPr="0036392F">
        <w:rPr>
          <w:i/>
          <w:sz w:val="24"/>
          <w:szCs w:val="24"/>
        </w:rPr>
        <w:t xml:space="preserve">(6) o </w:t>
      </w:r>
      <w:proofErr w:type="spellStart"/>
      <w:r w:rsidRPr="0036392F">
        <w:rPr>
          <w:i/>
          <w:sz w:val="24"/>
          <w:szCs w:val="24"/>
        </w:rPr>
        <w:t>ice</w:t>
      </w:r>
      <w:proofErr w:type="spellEnd"/>
      <w:r w:rsidRPr="0036392F">
        <w:rPr>
          <w:i/>
          <w:sz w:val="24"/>
          <w:szCs w:val="24"/>
        </w:rPr>
        <w:t xml:space="preserve"> </w:t>
      </w:r>
      <w:proofErr w:type="spellStart"/>
      <w:r w:rsidRPr="0036392F">
        <w:rPr>
          <w:i/>
          <w:sz w:val="24"/>
          <w:szCs w:val="24"/>
        </w:rPr>
        <w:t>jakūn</w:t>
      </w:r>
      <w:proofErr w:type="spellEnd"/>
      <w:r w:rsidRPr="0036392F">
        <w:rPr>
          <w:i/>
          <w:sz w:val="24"/>
          <w:szCs w:val="24"/>
        </w:rPr>
        <w:t xml:space="preserve"> de </w:t>
      </w:r>
      <w:proofErr w:type="spellStart"/>
      <w:r w:rsidRPr="0036392F">
        <w:rPr>
          <w:i/>
          <w:sz w:val="24"/>
          <w:szCs w:val="24"/>
        </w:rPr>
        <w:t>karacin</w:t>
      </w:r>
      <w:proofErr w:type="spellEnd"/>
      <w:r w:rsidRPr="0036392F">
        <w:rPr>
          <w:i/>
          <w:sz w:val="24"/>
          <w:szCs w:val="24"/>
        </w:rPr>
        <w:t xml:space="preserve"> i </w:t>
      </w:r>
      <w:proofErr w:type="spellStart"/>
      <w:r w:rsidRPr="0036392F">
        <w:rPr>
          <w:i/>
          <w:sz w:val="24"/>
          <w:szCs w:val="24"/>
        </w:rPr>
        <w:t>šamba</w:t>
      </w:r>
      <w:proofErr w:type="spellEnd"/>
      <w:r w:rsidRPr="0036392F">
        <w:rPr>
          <w:i/>
          <w:sz w:val="24"/>
          <w:szCs w:val="24"/>
        </w:rPr>
        <w:t xml:space="preserve"> </w:t>
      </w:r>
      <w:proofErr w:type="spellStart"/>
      <w:r w:rsidRPr="0036392F">
        <w:rPr>
          <w:i/>
          <w:sz w:val="24"/>
          <w:szCs w:val="24"/>
        </w:rPr>
        <w:t>tabunang</w:t>
      </w:r>
      <w:proofErr w:type="spellEnd"/>
      <w:r w:rsidRPr="0036392F">
        <w:rPr>
          <w:i/>
          <w:sz w:val="24"/>
          <w:szCs w:val="24"/>
        </w:rPr>
        <w:t xml:space="preserve"> . </w:t>
      </w:r>
      <w:proofErr w:type="spellStart"/>
      <w:r w:rsidRPr="0036392F">
        <w:rPr>
          <w:i/>
          <w:sz w:val="24"/>
          <w:szCs w:val="24"/>
        </w:rPr>
        <w:t>sirantu</w:t>
      </w:r>
      <w:proofErr w:type="spellEnd"/>
      <w:r w:rsidRPr="0036392F">
        <w:rPr>
          <w:i/>
          <w:sz w:val="24"/>
          <w:szCs w:val="24"/>
        </w:rPr>
        <w:t xml:space="preserve"> : - </w:t>
      </w:r>
      <w:proofErr w:type="spellStart"/>
      <w:r w:rsidRPr="0036392F">
        <w:rPr>
          <w:i/>
          <w:sz w:val="24"/>
          <w:szCs w:val="24"/>
        </w:rPr>
        <w:t>han</w:t>
      </w:r>
      <w:proofErr w:type="spellEnd"/>
      <w:r w:rsidRPr="0036392F">
        <w:rPr>
          <w:i/>
          <w:sz w:val="24"/>
          <w:szCs w:val="24"/>
        </w:rPr>
        <w:t xml:space="preserve"> de </w:t>
      </w:r>
      <w:proofErr w:type="spellStart"/>
      <w:r w:rsidRPr="0036392F">
        <w:rPr>
          <w:i/>
          <w:sz w:val="24"/>
          <w:szCs w:val="24"/>
        </w:rPr>
        <w:t>hengkileme</w:t>
      </w:r>
      <w:proofErr w:type="spellEnd"/>
      <w:r w:rsidRPr="0036392F">
        <w:rPr>
          <w:i/>
          <w:sz w:val="24"/>
          <w:szCs w:val="24"/>
        </w:rPr>
        <w:t xml:space="preserve"> </w:t>
      </w:r>
      <w:proofErr w:type="spellStart"/>
      <w:r w:rsidRPr="0036392F">
        <w:rPr>
          <w:i/>
          <w:sz w:val="24"/>
          <w:szCs w:val="24"/>
        </w:rPr>
        <w:t>jihe</w:t>
      </w:r>
      <w:proofErr w:type="spellEnd"/>
      <w:r w:rsidRPr="0036392F">
        <w:rPr>
          <w:i/>
          <w:sz w:val="24"/>
          <w:szCs w:val="24"/>
        </w:rPr>
        <w:t xml:space="preserve"> : (7) </w:t>
      </w:r>
      <w:proofErr w:type="spellStart"/>
      <w:r w:rsidRPr="0036392F">
        <w:rPr>
          <w:i/>
          <w:sz w:val="24"/>
          <w:szCs w:val="24"/>
        </w:rPr>
        <w:t>han</w:t>
      </w:r>
      <w:proofErr w:type="spellEnd"/>
      <w:r w:rsidRPr="0036392F">
        <w:rPr>
          <w:i/>
          <w:sz w:val="24"/>
          <w:szCs w:val="24"/>
        </w:rPr>
        <w:t xml:space="preserve"> de </w:t>
      </w:r>
      <w:proofErr w:type="spellStart"/>
      <w:r w:rsidRPr="0036392F">
        <w:rPr>
          <w:i/>
          <w:sz w:val="24"/>
          <w:szCs w:val="24"/>
        </w:rPr>
        <w:t>gajihangge</w:t>
      </w:r>
      <w:proofErr w:type="spellEnd"/>
      <w:r w:rsidRPr="0036392F">
        <w:rPr>
          <w:i/>
          <w:sz w:val="24"/>
          <w:szCs w:val="24"/>
        </w:rPr>
        <w:t xml:space="preserve"> </w:t>
      </w:r>
      <w:proofErr w:type="spellStart"/>
      <w:r w:rsidRPr="0036392F">
        <w:rPr>
          <w:i/>
          <w:sz w:val="24"/>
          <w:szCs w:val="24"/>
        </w:rPr>
        <w:t>šamba</w:t>
      </w:r>
      <w:proofErr w:type="spellEnd"/>
      <w:r w:rsidRPr="0036392F">
        <w:rPr>
          <w:i/>
          <w:sz w:val="24"/>
          <w:szCs w:val="24"/>
        </w:rPr>
        <w:t xml:space="preserve"> </w:t>
      </w:r>
      <w:proofErr w:type="spellStart"/>
      <w:r w:rsidRPr="0036392F">
        <w:rPr>
          <w:i/>
          <w:sz w:val="24"/>
          <w:szCs w:val="24"/>
        </w:rPr>
        <w:t>emu</w:t>
      </w:r>
      <w:proofErr w:type="spellEnd"/>
      <w:r w:rsidRPr="0036392F">
        <w:rPr>
          <w:i/>
          <w:sz w:val="24"/>
          <w:szCs w:val="24"/>
        </w:rPr>
        <w:t xml:space="preserve"> </w:t>
      </w:r>
      <w:proofErr w:type="spellStart"/>
      <w:r w:rsidRPr="0036392F">
        <w:rPr>
          <w:i/>
          <w:sz w:val="24"/>
          <w:szCs w:val="24"/>
        </w:rPr>
        <w:t>morin</w:t>
      </w:r>
      <w:proofErr w:type="spellEnd"/>
      <w:r w:rsidRPr="0036392F">
        <w:rPr>
          <w:i/>
          <w:sz w:val="24"/>
          <w:szCs w:val="24"/>
        </w:rPr>
        <w:t xml:space="preserve"> . </w:t>
      </w:r>
      <w:proofErr w:type="spellStart"/>
      <w:r w:rsidRPr="0036392F">
        <w:rPr>
          <w:i/>
          <w:sz w:val="24"/>
          <w:szCs w:val="24"/>
        </w:rPr>
        <w:t>sunja</w:t>
      </w:r>
      <w:proofErr w:type="spellEnd"/>
      <w:r w:rsidRPr="0036392F">
        <w:rPr>
          <w:i/>
          <w:sz w:val="24"/>
          <w:szCs w:val="24"/>
        </w:rPr>
        <w:t xml:space="preserve"> </w:t>
      </w:r>
      <w:proofErr w:type="spellStart"/>
      <w:r w:rsidRPr="0036392F">
        <w:rPr>
          <w:i/>
          <w:sz w:val="24"/>
          <w:szCs w:val="24"/>
        </w:rPr>
        <w:t>honin</w:t>
      </w:r>
      <w:proofErr w:type="spellEnd"/>
      <w:r w:rsidRPr="0036392F">
        <w:rPr>
          <w:i/>
          <w:sz w:val="24"/>
          <w:szCs w:val="24"/>
        </w:rPr>
        <w:t xml:space="preserve"> </w:t>
      </w:r>
      <w:proofErr w:type="spellStart"/>
      <w:r w:rsidRPr="0036392F">
        <w:rPr>
          <w:i/>
          <w:sz w:val="24"/>
          <w:szCs w:val="24"/>
        </w:rPr>
        <w:t>yali</w:t>
      </w:r>
      <w:proofErr w:type="spellEnd"/>
      <w:r w:rsidRPr="0036392F">
        <w:rPr>
          <w:i/>
          <w:sz w:val="24"/>
          <w:szCs w:val="24"/>
        </w:rPr>
        <w:t xml:space="preserve"> : </w:t>
      </w:r>
      <w:proofErr w:type="spellStart"/>
      <w:r w:rsidRPr="0036392F">
        <w:rPr>
          <w:i/>
          <w:sz w:val="24"/>
          <w:szCs w:val="24"/>
        </w:rPr>
        <w:t>sirantu</w:t>
      </w:r>
      <w:proofErr w:type="spellEnd"/>
      <w:r w:rsidRPr="0036392F">
        <w:rPr>
          <w:i/>
          <w:sz w:val="24"/>
          <w:szCs w:val="24"/>
        </w:rPr>
        <w:t xml:space="preserve"> </w:t>
      </w:r>
      <w:proofErr w:type="spellStart"/>
      <w:r w:rsidRPr="0036392F">
        <w:rPr>
          <w:i/>
          <w:sz w:val="24"/>
          <w:szCs w:val="24"/>
        </w:rPr>
        <w:t>emu</w:t>
      </w:r>
      <w:proofErr w:type="spellEnd"/>
      <w:r w:rsidRPr="0036392F">
        <w:rPr>
          <w:i/>
          <w:sz w:val="24"/>
          <w:szCs w:val="24"/>
        </w:rPr>
        <w:t xml:space="preserve"> </w:t>
      </w:r>
      <w:proofErr w:type="spellStart"/>
      <w:r w:rsidRPr="0036392F">
        <w:rPr>
          <w:i/>
          <w:sz w:val="24"/>
          <w:szCs w:val="24"/>
        </w:rPr>
        <w:t>morin</w:t>
      </w:r>
      <w:proofErr w:type="spellEnd"/>
      <w:r w:rsidRPr="0036392F">
        <w:rPr>
          <w:i/>
          <w:sz w:val="24"/>
          <w:szCs w:val="24"/>
        </w:rPr>
        <w:t xml:space="preserve"> : </w:t>
      </w:r>
      <w:proofErr w:type="spellStart"/>
      <w:r w:rsidRPr="0036392F">
        <w:rPr>
          <w:i/>
          <w:sz w:val="24"/>
          <w:szCs w:val="24"/>
        </w:rPr>
        <w:t>emu</w:t>
      </w:r>
      <w:proofErr w:type="spellEnd"/>
      <w:r w:rsidRPr="0036392F">
        <w:rPr>
          <w:i/>
          <w:sz w:val="24"/>
          <w:szCs w:val="24"/>
        </w:rPr>
        <w:t xml:space="preserve"> </w:t>
      </w:r>
      <w:proofErr w:type="spellStart"/>
      <w:r w:rsidRPr="0036392F">
        <w:rPr>
          <w:i/>
          <w:sz w:val="24"/>
          <w:szCs w:val="24"/>
        </w:rPr>
        <w:t>giyahūn</w:t>
      </w:r>
      <w:proofErr w:type="spellEnd"/>
      <w:r w:rsidRPr="0036392F">
        <w:rPr>
          <w:i/>
          <w:sz w:val="24"/>
          <w:szCs w:val="24"/>
        </w:rPr>
        <w:t xml:space="preserve"> : </w:t>
      </w:r>
      <w:proofErr w:type="spellStart"/>
      <w:r w:rsidRPr="0036392F">
        <w:rPr>
          <w:i/>
          <w:sz w:val="24"/>
          <w:szCs w:val="24"/>
        </w:rPr>
        <w:t>tasha</w:t>
      </w:r>
      <w:proofErr w:type="spellEnd"/>
      <w:r w:rsidRPr="0036392F">
        <w:rPr>
          <w:i/>
          <w:sz w:val="24"/>
          <w:szCs w:val="24"/>
        </w:rPr>
        <w:t xml:space="preserve"> (8) </w:t>
      </w:r>
      <w:proofErr w:type="spellStart"/>
      <w:r w:rsidRPr="0036392F">
        <w:rPr>
          <w:i/>
          <w:sz w:val="24"/>
          <w:szCs w:val="24"/>
        </w:rPr>
        <w:t>suku</w:t>
      </w:r>
      <w:proofErr w:type="spellEnd"/>
      <w:r w:rsidRPr="0036392F">
        <w:rPr>
          <w:i/>
          <w:sz w:val="24"/>
          <w:szCs w:val="24"/>
        </w:rPr>
        <w:t xml:space="preserve"> </w:t>
      </w:r>
      <w:proofErr w:type="spellStart"/>
      <w:r w:rsidRPr="0036392F">
        <w:rPr>
          <w:i/>
          <w:sz w:val="24"/>
          <w:szCs w:val="24"/>
        </w:rPr>
        <w:t>emke</w:t>
      </w:r>
      <w:proofErr w:type="spellEnd"/>
      <w:r w:rsidRPr="0036392F">
        <w:rPr>
          <w:i/>
          <w:sz w:val="24"/>
          <w:szCs w:val="24"/>
        </w:rPr>
        <w:t xml:space="preserve"> </w:t>
      </w:r>
      <w:proofErr w:type="spellStart"/>
      <w:r w:rsidRPr="0036392F">
        <w:rPr>
          <w:i/>
          <w:sz w:val="24"/>
          <w:szCs w:val="24"/>
        </w:rPr>
        <w:t>jafaha</w:t>
      </w:r>
      <w:proofErr w:type="spellEnd"/>
      <w:r w:rsidRPr="0036392F">
        <w:rPr>
          <w:i/>
          <w:sz w:val="24"/>
          <w:szCs w:val="24"/>
        </w:rPr>
        <w:t xml:space="preserve"> </w:t>
      </w:r>
      <w:proofErr w:type="spellStart"/>
      <w:r w:rsidRPr="0036392F">
        <w:rPr>
          <w:i/>
          <w:sz w:val="24"/>
          <w:szCs w:val="24"/>
        </w:rPr>
        <w:t>bihe</w:t>
      </w:r>
      <w:proofErr w:type="spellEnd"/>
      <w:r w:rsidRPr="0036392F">
        <w:rPr>
          <w:i/>
          <w:sz w:val="24"/>
          <w:szCs w:val="24"/>
        </w:rPr>
        <w:t xml:space="preserve"> : </w:t>
      </w:r>
      <w:proofErr w:type="spellStart"/>
      <w:r w:rsidRPr="0036392F">
        <w:rPr>
          <w:i/>
          <w:sz w:val="24"/>
          <w:szCs w:val="24"/>
        </w:rPr>
        <w:t>honin</w:t>
      </w:r>
      <w:proofErr w:type="spellEnd"/>
      <w:r w:rsidRPr="0036392F">
        <w:rPr>
          <w:i/>
          <w:sz w:val="24"/>
          <w:szCs w:val="24"/>
        </w:rPr>
        <w:t xml:space="preserve"> </w:t>
      </w:r>
      <w:proofErr w:type="spellStart"/>
      <w:r w:rsidRPr="0036392F">
        <w:rPr>
          <w:i/>
          <w:sz w:val="24"/>
          <w:szCs w:val="24"/>
        </w:rPr>
        <w:t>yali</w:t>
      </w:r>
      <w:proofErr w:type="spellEnd"/>
      <w:r w:rsidRPr="0036392F">
        <w:rPr>
          <w:i/>
          <w:sz w:val="24"/>
          <w:szCs w:val="24"/>
        </w:rPr>
        <w:t xml:space="preserve"> : </w:t>
      </w:r>
      <w:proofErr w:type="spellStart"/>
      <w:r w:rsidRPr="0036392F">
        <w:rPr>
          <w:i/>
          <w:sz w:val="24"/>
          <w:szCs w:val="24"/>
        </w:rPr>
        <w:t>giyahūn</w:t>
      </w:r>
      <w:proofErr w:type="spellEnd"/>
      <w:r w:rsidRPr="0036392F">
        <w:rPr>
          <w:i/>
          <w:sz w:val="24"/>
          <w:szCs w:val="24"/>
        </w:rPr>
        <w:t xml:space="preserve"> </w:t>
      </w:r>
      <w:proofErr w:type="spellStart"/>
      <w:r w:rsidRPr="0036392F">
        <w:rPr>
          <w:i/>
          <w:sz w:val="24"/>
          <w:szCs w:val="24"/>
        </w:rPr>
        <w:t>be</w:t>
      </w:r>
      <w:proofErr w:type="spellEnd"/>
      <w:r w:rsidRPr="0036392F">
        <w:rPr>
          <w:i/>
          <w:sz w:val="24"/>
          <w:szCs w:val="24"/>
        </w:rPr>
        <w:t xml:space="preserve"> </w:t>
      </w:r>
      <w:proofErr w:type="spellStart"/>
      <w:r w:rsidRPr="0036392F">
        <w:rPr>
          <w:i/>
          <w:sz w:val="24"/>
          <w:szCs w:val="24"/>
        </w:rPr>
        <w:t>gaiha</w:t>
      </w:r>
      <w:proofErr w:type="spellEnd"/>
      <w:r w:rsidRPr="0036392F">
        <w:rPr>
          <w:i/>
          <w:sz w:val="24"/>
          <w:szCs w:val="24"/>
        </w:rPr>
        <w:t xml:space="preserve"> : </w:t>
      </w:r>
      <w:proofErr w:type="spellStart"/>
      <w:r w:rsidRPr="0036392F">
        <w:rPr>
          <w:i/>
          <w:sz w:val="24"/>
          <w:szCs w:val="24"/>
        </w:rPr>
        <w:t>jai</w:t>
      </w:r>
      <w:proofErr w:type="spellEnd"/>
      <w:r w:rsidRPr="0036392F">
        <w:rPr>
          <w:i/>
          <w:sz w:val="24"/>
          <w:szCs w:val="24"/>
        </w:rPr>
        <w:t xml:space="preserve"> </w:t>
      </w:r>
      <w:proofErr w:type="spellStart"/>
      <w:r w:rsidRPr="0036392F">
        <w:rPr>
          <w:i/>
          <w:sz w:val="24"/>
          <w:szCs w:val="24"/>
        </w:rPr>
        <w:t>gaihakū</w:t>
      </w:r>
      <w:proofErr w:type="spellEnd"/>
      <w:r w:rsidRPr="0036392F">
        <w:rPr>
          <w:i/>
          <w:sz w:val="24"/>
          <w:szCs w:val="24"/>
        </w:rPr>
        <w:t xml:space="preserve"> </w:t>
      </w:r>
      <w:proofErr w:type="spellStart"/>
      <w:r w:rsidRPr="0036392F">
        <w:rPr>
          <w:i/>
          <w:sz w:val="24"/>
          <w:szCs w:val="24"/>
        </w:rPr>
        <w:t>bederebuhe</w:t>
      </w:r>
      <w:proofErr w:type="spellEnd"/>
      <w:r w:rsidRPr="0036392F">
        <w:rPr>
          <w:sz w:val="24"/>
          <w:szCs w:val="24"/>
        </w:rPr>
        <w:t xml:space="preserve"> : </w:t>
      </w:r>
      <w:r w:rsidRPr="00B05EAD">
        <w:rPr>
          <w:i/>
          <w:iCs/>
          <w:sz w:val="24"/>
          <w:szCs w:val="24"/>
        </w:rPr>
        <w:t xml:space="preserve">Jiu </w:t>
      </w:r>
      <w:proofErr w:type="spellStart"/>
      <w:r w:rsidRPr="00B05EAD">
        <w:rPr>
          <w:i/>
          <w:iCs/>
          <w:sz w:val="24"/>
          <w:szCs w:val="24"/>
        </w:rPr>
        <w:t>Manzhou</w:t>
      </w:r>
      <w:proofErr w:type="spellEnd"/>
      <w:r w:rsidRPr="00B05EAD">
        <w:rPr>
          <w:i/>
          <w:iCs/>
          <w:sz w:val="24"/>
          <w:szCs w:val="24"/>
        </w:rPr>
        <w:t xml:space="preserve"> Dang</w:t>
      </w:r>
      <w:r w:rsidRPr="00B05EAD">
        <w:rPr>
          <w:sz w:val="24"/>
          <w:szCs w:val="24"/>
        </w:rPr>
        <w:t xml:space="preserve"> </w:t>
      </w:r>
      <w:proofErr w:type="spellStart"/>
      <w:r w:rsidRPr="00B05EAD">
        <w:rPr>
          <w:sz w:val="24"/>
          <w:szCs w:val="24"/>
        </w:rPr>
        <w:t>quoted</w:t>
      </w:r>
      <w:proofErr w:type="spellEnd"/>
      <w:r w:rsidRPr="00B05EAD">
        <w:rPr>
          <w:sz w:val="24"/>
          <w:szCs w:val="24"/>
        </w:rPr>
        <w:t xml:space="preserve"> after Gruber </w:t>
      </w:r>
      <w:r>
        <w:rPr>
          <w:sz w:val="24"/>
          <w:szCs w:val="24"/>
        </w:rPr>
        <w:t>(</w:t>
      </w:r>
      <w:r w:rsidRPr="00B05EAD">
        <w:rPr>
          <w:sz w:val="24"/>
          <w:szCs w:val="24"/>
        </w:rPr>
        <w:t>2006:</w:t>
      </w:r>
      <w:r>
        <w:rPr>
          <w:sz w:val="24"/>
          <w:szCs w:val="24"/>
        </w:rPr>
        <w:t xml:space="preserve"> 40)</w:t>
      </w:r>
      <w:r w:rsidRPr="0036392F">
        <w:rPr>
          <w:sz w:val="24"/>
          <w:szCs w:val="24"/>
        </w:rPr>
        <w:t>.</w:t>
      </w:r>
    </w:p>
  </w:endnote>
  <w:endnote w:id="12">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Title of nobility.</w:t>
      </w:r>
    </w:p>
  </w:endnote>
  <w:endnote w:id="13">
    <w:p w:rsidR="00106337" w:rsidRPr="0036392F" w:rsidRDefault="00106337">
      <w:pPr>
        <w:pStyle w:val="Endnotentext"/>
        <w:rPr>
          <w:sz w:val="24"/>
          <w:szCs w:val="24"/>
          <w:lang w:val="en-US"/>
        </w:rPr>
      </w:pPr>
      <w:r w:rsidRPr="0036392F">
        <w:rPr>
          <w:rStyle w:val="Endnotenzeichen"/>
          <w:sz w:val="24"/>
          <w:szCs w:val="24"/>
        </w:rPr>
        <w:endnoteRef/>
      </w:r>
      <w:r w:rsidRPr="00C410F5">
        <w:rPr>
          <w:sz w:val="24"/>
          <w:szCs w:val="24"/>
          <w:lang w:val="en-US"/>
        </w:rPr>
        <w:t xml:space="preserve"> Manchu text in </w:t>
      </w:r>
      <w:r w:rsidRPr="00C410F5">
        <w:rPr>
          <w:i/>
          <w:sz w:val="24"/>
          <w:szCs w:val="24"/>
          <w:lang w:val="en-US"/>
        </w:rPr>
        <w:t xml:space="preserve">Jiu </w:t>
      </w:r>
      <w:proofErr w:type="spellStart"/>
      <w:r w:rsidRPr="00C410F5">
        <w:rPr>
          <w:i/>
          <w:sz w:val="24"/>
          <w:szCs w:val="24"/>
          <w:lang w:val="en-US"/>
        </w:rPr>
        <w:t>Manzhou</w:t>
      </w:r>
      <w:proofErr w:type="spellEnd"/>
      <w:r w:rsidRPr="00C410F5">
        <w:rPr>
          <w:i/>
          <w:sz w:val="24"/>
          <w:szCs w:val="24"/>
          <w:lang w:val="en-US"/>
        </w:rPr>
        <w:t xml:space="preserve"> Dang</w:t>
      </w:r>
      <w:r w:rsidRPr="00C410F5">
        <w:rPr>
          <w:iCs/>
          <w:sz w:val="24"/>
          <w:szCs w:val="24"/>
          <w:lang w:val="en-US"/>
        </w:rPr>
        <w:t xml:space="preserve"> (1969):</w:t>
      </w:r>
      <w:r w:rsidRPr="00C410F5">
        <w:rPr>
          <w:sz w:val="24"/>
          <w:szCs w:val="24"/>
          <w:lang w:val="en-US"/>
        </w:rPr>
        <w:t xml:space="preserve"> fol.3378/3379. </w:t>
      </w:r>
      <w:r w:rsidRPr="0036392F">
        <w:rPr>
          <w:i/>
          <w:sz w:val="24"/>
          <w:szCs w:val="24"/>
          <w:lang w:val="en-US"/>
        </w:rPr>
        <w:t xml:space="preserve">(9) o </w:t>
      </w:r>
      <w:proofErr w:type="spellStart"/>
      <w:r w:rsidRPr="0036392F">
        <w:rPr>
          <w:i/>
          <w:sz w:val="24"/>
          <w:szCs w:val="24"/>
          <w:lang w:val="en-US"/>
        </w:rPr>
        <w:t>ineku</w:t>
      </w:r>
      <w:proofErr w:type="spellEnd"/>
      <w:r w:rsidRPr="0036392F">
        <w:rPr>
          <w:i/>
          <w:sz w:val="24"/>
          <w:szCs w:val="24"/>
          <w:lang w:val="en-US"/>
        </w:rPr>
        <w:t xml:space="preserve"> </w:t>
      </w:r>
      <w:proofErr w:type="spellStart"/>
      <w:r w:rsidRPr="0036392F">
        <w:rPr>
          <w:i/>
          <w:sz w:val="24"/>
          <w:szCs w:val="24"/>
          <w:lang w:val="en-US"/>
        </w:rPr>
        <w:t>tere</w:t>
      </w:r>
      <w:proofErr w:type="spellEnd"/>
      <w:r w:rsidRPr="0036392F">
        <w:rPr>
          <w:i/>
          <w:sz w:val="24"/>
          <w:szCs w:val="24"/>
          <w:lang w:val="en-US"/>
        </w:rPr>
        <w:t xml:space="preserve"> </w:t>
      </w:r>
      <w:proofErr w:type="spellStart"/>
      <w:r w:rsidRPr="0036392F">
        <w:rPr>
          <w:i/>
          <w:sz w:val="24"/>
          <w:szCs w:val="24"/>
          <w:lang w:val="en-US"/>
        </w:rPr>
        <w:t>inenggi</w:t>
      </w:r>
      <w:proofErr w:type="spellEnd"/>
      <w:r w:rsidRPr="0036392F">
        <w:rPr>
          <w:i/>
          <w:sz w:val="24"/>
          <w:szCs w:val="24"/>
          <w:lang w:val="en-US"/>
        </w:rPr>
        <w:t xml:space="preserve"> </w:t>
      </w:r>
      <w:proofErr w:type="spellStart"/>
      <w:r w:rsidRPr="0036392F">
        <w:rPr>
          <w:i/>
          <w:sz w:val="24"/>
          <w:szCs w:val="24"/>
          <w:lang w:val="en-US"/>
        </w:rPr>
        <w:t>karacin</w:t>
      </w:r>
      <w:proofErr w:type="spellEnd"/>
      <w:r w:rsidRPr="0036392F">
        <w:rPr>
          <w:i/>
          <w:sz w:val="24"/>
          <w:szCs w:val="24"/>
          <w:lang w:val="en-US"/>
        </w:rPr>
        <w:t xml:space="preserve"> </w:t>
      </w:r>
      <w:proofErr w:type="spellStart"/>
      <w:r w:rsidRPr="0036392F">
        <w:rPr>
          <w:i/>
          <w:sz w:val="24"/>
          <w:szCs w:val="24"/>
          <w:lang w:val="en-US"/>
        </w:rPr>
        <w:t>i</w:t>
      </w:r>
      <w:proofErr w:type="spellEnd"/>
      <w:r w:rsidRPr="0036392F">
        <w:rPr>
          <w:i/>
          <w:sz w:val="24"/>
          <w:szCs w:val="24"/>
          <w:lang w:val="en-US"/>
        </w:rPr>
        <w:t xml:space="preserve"> </w:t>
      </w:r>
      <w:proofErr w:type="spellStart"/>
      <w:r w:rsidRPr="0036392F">
        <w:rPr>
          <w:i/>
          <w:sz w:val="24"/>
          <w:szCs w:val="24"/>
          <w:lang w:val="en-US"/>
        </w:rPr>
        <w:t>šamba</w:t>
      </w:r>
      <w:proofErr w:type="spellEnd"/>
      <w:r w:rsidRPr="0036392F">
        <w:rPr>
          <w:i/>
          <w:sz w:val="24"/>
          <w:szCs w:val="24"/>
          <w:lang w:val="en-US"/>
        </w:rPr>
        <w:t xml:space="preserve"> </w:t>
      </w:r>
      <w:proofErr w:type="spellStart"/>
      <w:r w:rsidRPr="0036392F">
        <w:rPr>
          <w:i/>
          <w:sz w:val="24"/>
          <w:szCs w:val="24"/>
          <w:lang w:val="en-US"/>
        </w:rPr>
        <w:t>tabunang</w:t>
      </w:r>
      <w:proofErr w:type="spellEnd"/>
      <w:r w:rsidRPr="0036392F">
        <w:rPr>
          <w:i/>
          <w:sz w:val="24"/>
          <w:szCs w:val="24"/>
          <w:lang w:val="en-US"/>
        </w:rPr>
        <w:t xml:space="preserve"> : </w:t>
      </w:r>
      <w:proofErr w:type="spellStart"/>
      <w:r w:rsidRPr="0036392F">
        <w:rPr>
          <w:i/>
          <w:sz w:val="24"/>
          <w:szCs w:val="24"/>
          <w:lang w:val="en-US"/>
        </w:rPr>
        <w:t>sirantu</w:t>
      </w:r>
      <w:proofErr w:type="spellEnd"/>
      <w:r w:rsidRPr="0036392F">
        <w:rPr>
          <w:i/>
          <w:sz w:val="24"/>
          <w:szCs w:val="24"/>
          <w:lang w:val="en-US"/>
        </w:rPr>
        <w:t xml:space="preserve"> : </w:t>
      </w:r>
      <w:proofErr w:type="spellStart"/>
      <w:r w:rsidRPr="0036392F">
        <w:rPr>
          <w:i/>
          <w:sz w:val="24"/>
          <w:szCs w:val="24"/>
          <w:lang w:val="en-US"/>
        </w:rPr>
        <w:t>wang</w:t>
      </w:r>
      <w:proofErr w:type="spellEnd"/>
      <w:r w:rsidRPr="0036392F">
        <w:rPr>
          <w:i/>
          <w:sz w:val="24"/>
          <w:szCs w:val="24"/>
          <w:lang w:val="en-US"/>
        </w:rPr>
        <w:t xml:space="preserve"> lama </w:t>
      </w:r>
      <w:proofErr w:type="spellStart"/>
      <w:r w:rsidRPr="0036392F">
        <w:rPr>
          <w:i/>
          <w:sz w:val="24"/>
          <w:szCs w:val="24"/>
          <w:lang w:val="en-US"/>
        </w:rPr>
        <w:t>genehe</w:t>
      </w:r>
      <w:proofErr w:type="spellEnd"/>
      <w:r w:rsidRPr="0036392F">
        <w:rPr>
          <w:i/>
          <w:sz w:val="24"/>
          <w:szCs w:val="24"/>
          <w:lang w:val="en-US"/>
        </w:rPr>
        <w:t xml:space="preserve"> : </w:t>
      </w:r>
      <w:proofErr w:type="spellStart"/>
      <w:r w:rsidRPr="0036392F">
        <w:rPr>
          <w:i/>
          <w:sz w:val="24"/>
          <w:szCs w:val="24"/>
          <w:lang w:val="en-US"/>
        </w:rPr>
        <w:t>genere</w:t>
      </w:r>
      <w:proofErr w:type="spellEnd"/>
      <w:r w:rsidRPr="0036392F">
        <w:rPr>
          <w:i/>
          <w:sz w:val="24"/>
          <w:szCs w:val="24"/>
          <w:lang w:val="en-US"/>
        </w:rPr>
        <w:t xml:space="preserve"> </w:t>
      </w:r>
      <w:proofErr w:type="spellStart"/>
      <w:r w:rsidRPr="0036392F">
        <w:rPr>
          <w:i/>
          <w:sz w:val="24"/>
          <w:szCs w:val="24"/>
          <w:lang w:val="en-US"/>
        </w:rPr>
        <w:t>doroi</w:t>
      </w:r>
      <w:proofErr w:type="spellEnd"/>
      <w:r w:rsidRPr="0036392F">
        <w:rPr>
          <w:i/>
          <w:sz w:val="24"/>
          <w:szCs w:val="24"/>
          <w:lang w:val="en-US"/>
        </w:rPr>
        <w:t xml:space="preserve"> </w:t>
      </w:r>
      <w:proofErr w:type="spellStart"/>
      <w:r w:rsidRPr="0036392F">
        <w:rPr>
          <w:i/>
          <w:sz w:val="24"/>
          <w:szCs w:val="24"/>
          <w:lang w:val="en-US"/>
        </w:rPr>
        <w:t>būhengge</w:t>
      </w:r>
      <w:proofErr w:type="spellEnd"/>
      <w:r w:rsidRPr="0036392F">
        <w:rPr>
          <w:i/>
          <w:sz w:val="24"/>
          <w:szCs w:val="24"/>
          <w:lang w:val="en-US"/>
        </w:rPr>
        <w:t xml:space="preserve"> : </w:t>
      </w:r>
      <w:proofErr w:type="spellStart"/>
      <w:r w:rsidRPr="0036392F">
        <w:rPr>
          <w:i/>
          <w:sz w:val="24"/>
          <w:szCs w:val="24"/>
          <w:lang w:val="en-US"/>
        </w:rPr>
        <w:t>šamba</w:t>
      </w:r>
      <w:proofErr w:type="spellEnd"/>
      <w:r w:rsidRPr="0036392F">
        <w:rPr>
          <w:i/>
          <w:sz w:val="24"/>
          <w:szCs w:val="24"/>
          <w:lang w:val="en-US"/>
        </w:rPr>
        <w:t xml:space="preserve"> </w:t>
      </w:r>
      <w:proofErr w:type="spellStart"/>
      <w:r w:rsidRPr="0036392F">
        <w:rPr>
          <w:i/>
          <w:sz w:val="24"/>
          <w:szCs w:val="24"/>
          <w:lang w:val="en-US"/>
        </w:rPr>
        <w:t>tabunang</w:t>
      </w:r>
      <w:proofErr w:type="spellEnd"/>
      <w:r w:rsidRPr="0036392F">
        <w:rPr>
          <w:i/>
          <w:sz w:val="24"/>
          <w:szCs w:val="24"/>
          <w:lang w:val="en-US"/>
        </w:rPr>
        <w:t xml:space="preserve"> (10) de </w:t>
      </w:r>
      <w:proofErr w:type="spellStart"/>
      <w:r w:rsidRPr="0036392F">
        <w:rPr>
          <w:i/>
          <w:sz w:val="24"/>
          <w:szCs w:val="24"/>
          <w:lang w:val="en-US"/>
        </w:rPr>
        <w:t>loho</w:t>
      </w:r>
      <w:proofErr w:type="spellEnd"/>
      <w:r w:rsidRPr="0036392F">
        <w:rPr>
          <w:i/>
          <w:sz w:val="24"/>
          <w:szCs w:val="24"/>
          <w:lang w:val="en-US"/>
        </w:rPr>
        <w:t xml:space="preserve"> </w:t>
      </w:r>
      <w:proofErr w:type="spellStart"/>
      <w:r w:rsidRPr="0036392F">
        <w:rPr>
          <w:i/>
          <w:sz w:val="24"/>
          <w:szCs w:val="24"/>
          <w:lang w:val="en-US"/>
        </w:rPr>
        <w:t>emke</w:t>
      </w:r>
      <w:proofErr w:type="spellEnd"/>
      <w:r w:rsidRPr="0036392F">
        <w:rPr>
          <w:i/>
          <w:sz w:val="24"/>
          <w:szCs w:val="24"/>
          <w:lang w:val="en-US"/>
        </w:rPr>
        <w:t xml:space="preserve"> : </w:t>
      </w:r>
      <w:proofErr w:type="spellStart"/>
      <w:r w:rsidRPr="0036392F">
        <w:rPr>
          <w:i/>
          <w:sz w:val="24"/>
          <w:szCs w:val="24"/>
          <w:lang w:val="en-US"/>
        </w:rPr>
        <w:t>jeku</w:t>
      </w:r>
      <w:proofErr w:type="spellEnd"/>
      <w:r w:rsidRPr="0036392F">
        <w:rPr>
          <w:i/>
          <w:sz w:val="24"/>
          <w:szCs w:val="24"/>
          <w:lang w:val="en-US"/>
        </w:rPr>
        <w:t xml:space="preserve"> </w:t>
      </w:r>
      <w:proofErr w:type="spellStart"/>
      <w:r w:rsidRPr="0036392F">
        <w:rPr>
          <w:i/>
          <w:sz w:val="24"/>
          <w:szCs w:val="24"/>
          <w:lang w:val="en-US"/>
        </w:rPr>
        <w:t>juwan</w:t>
      </w:r>
      <w:proofErr w:type="spellEnd"/>
      <w:r w:rsidRPr="0036392F">
        <w:rPr>
          <w:i/>
          <w:sz w:val="24"/>
          <w:szCs w:val="24"/>
          <w:lang w:val="en-US"/>
        </w:rPr>
        <w:t xml:space="preserve"> </w:t>
      </w:r>
      <w:proofErr w:type="spellStart"/>
      <w:r w:rsidRPr="0036392F">
        <w:rPr>
          <w:i/>
          <w:sz w:val="24"/>
          <w:szCs w:val="24"/>
          <w:lang w:val="en-US"/>
        </w:rPr>
        <w:t>hūle</w:t>
      </w:r>
      <w:proofErr w:type="spellEnd"/>
      <w:r w:rsidRPr="0036392F">
        <w:rPr>
          <w:i/>
          <w:sz w:val="24"/>
          <w:szCs w:val="24"/>
          <w:lang w:val="en-US"/>
        </w:rPr>
        <w:t xml:space="preserve"> </w:t>
      </w:r>
      <w:proofErr w:type="spellStart"/>
      <w:r w:rsidRPr="0036392F">
        <w:rPr>
          <w:i/>
          <w:sz w:val="24"/>
          <w:szCs w:val="24"/>
          <w:lang w:val="en-US"/>
        </w:rPr>
        <w:t>sirantu</w:t>
      </w:r>
      <w:proofErr w:type="spellEnd"/>
      <w:r w:rsidRPr="0036392F">
        <w:rPr>
          <w:i/>
          <w:sz w:val="24"/>
          <w:szCs w:val="24"/>
          <w:lang w:val="en-US"/>
        </w:rPr>
        <w:t xml:space="preserve"> de </w:t>
      </w:r>
      <w:proofErr w:type="spellStart"/>
      <w:r w:rsidRPr="0036392F">
        <w:rPr>
          <w:i/>
          <w:sz w:val="24"/>
          <w:szCs w:val="24"/>
          <w:lang w:val="en-US"/>
        </w:rPr>
        <w:t>jebele</w:t>
      </w:r>
      <w:proofErr w:type="spellEnd"/>
      <w:r w:rsidRPr="0036392F">
        <w:rPr>
          <w:i/>
          <w:sz w:val="24"/>
          <w:szCs w:val="24"/>
          <w:lang w:val="en-US"/>
        </w:rPr>
        <w:t xml:space="preserve"> </w:t>
      </w:r>
      <w:proofErr w:type="spellStart"/>
      <w:r w:rsidRPr="0036392F">
        <w:rPr>
          <w:i/>
          <w:sz w:val="24"/>
          <w:szCs w:val="24"/>
          <w:lang w:val="en-US"/>
        </w:rPr>
        <w:t>emke</w:t>
      </w:r>
      <w:proofErr w:type="spellEnd"/>
      <w:r w:rsidRPr="0036392F">
        <w:rPr>
          <w:i/>
          <w:sz w:val="24"/>
          <w:szCs w:val="24"/>
          <w:lang w:val="en-US"/>
        </w:rPr>
        <w:t xml:space="preserve"> + </w:t>
      </w:r>
      <w:proofErr w:type="spellStart"/>
      <w:r w:rsidRPr="0036392F">
        <w:rPr>
          <w:i/>
          <w:sz w:val="24"/>
          <w:szCs w:val="24"/>
          <w:lang w:val="en-US"/>
        </w:rPr>
        <w:t>jeku</w:t>
      </w:r>
      <w:proofErr w:type="spellEnd"/>
      <w:r w:rsidRPr="0036392F">
        <w:rPr>
          <w:i/>
          <w:sz w:val="24"/>
          <w:szCs w:val="24"/>
          <w:lang w:val="en-US"/>
        </w:rPr>
        <w:t xml:space="preserve"> : </w:t>
      </w:r>
      <w:proofErr w:type="spellStart"/>
      <w:r w:rsidRPr="0036392F">
        <w:rPr>
          <w:i/>
          <w:sz w:val="24"/>
          <w:szCs w:val="24"/>
          <w:lang w:val="en-US"/>
        </w:rPr>
        <w:t>juwan</w:t>
      </w:r>
      <w:proofErr w:type="spellEnd"/>
      <w:r w:rsidRPr="0036392F">
        <w:rPr>
          <w:i/>
          <w:sz w:val="24"/>
          <w:szCs w:val="24"/>
          <w:lang w:val="en-US"/>
        </w:rPr>
        <w:t xml:space="preserve"> </w:t>
      </w:r>
      <w:proofErr w:type="spellStart"/>
      <w:r w:rsidRPr="0036392F">
        <w:rPr>
          <w:i/>
          <w:sz w:val="24"/>
          <w:szCs w:val="24"/>
          <w:lang w:val="en-US"/>
        </w:rPr>
        <w:t>hūle</w:t>
      </w:r>
      <w:proofErr w:type="spellEnd"/>
      <w:r w:rsidRPr="0036392F">
        <w:rPr>
          <w:i/>
          <w:sz w:val="24"/>
          <w:szCs w:val="24"/>
          <w:lang w:val="en-US"/>
        </w:rPr>
        <w:t xml:space="preserve"> : </w:t>
      </w:r>
      <w:proofErr w:type="spellStart"/>
      <w:r w:rsidRPr="0036392F">
        <w:rPr>
          <w:i/>
          <w:sz w:val="24"/>
          <w:szCs w:val="24"/>
          <w:lang w:val="en-US"/>
        </w:rPr>
        <w:t>wang</w:t>
      </w:r>
      <w:proofErr w:type="spellEnd"/>
      <w:r w:rsidRPr="0036392F">
        <w:rPr>
          <w:i/>
          <w:sz w:val="24"/>
          <w:szCs w:val="24"/>
          <w:lang w:val="en-US"/>
        </w:rPr>
        <w:t xml:space="preserve"> lama de </w:t>
      </w:r>
      <w:proofErr w:type="spellStart"/>
      <w:r w:rsidRPr="0036392F">
        <w:rPr>
          <w:i/>
          <w:sz w:val="24"/>
          <w:szCs w:val="24"/>
          <w:lang w:val="en-US"/>
        </w:rPr>
        <w:t>hilteri</w:t>
      </w:r>
      <w:proofErr w:type="spellEnd"/>
      <w:r w:rsidRPr="0036392F">
        <w:rPr>
          <w:i/>
          <w:sz w:val="24"/>
          <w:szCs w:val="24"/>
          <w:lang w:val="en-US"/>
        </w:rPr>
        <w:t xml:space="preserve"> </w:t>
      </w:r>
      <w:proofErr w:type="spellStart"/>
      <w:r w:rsidRPr="0036392F">
        <w:rPr>
          <w:i/>
          <w:sz w:val="24"/>
          <w:szCs w:val="24"/>
          <w:lang w:val="en-US"/>
        </w:rPr>
        <w:t>ūksin</w:t>
      </w:r>
      <w:proofErr w:type="spellEnd"/>
      <w:r w:rsidRPr="0036392F">
        <w:rPr>
          <w:i/>
          <w:sz w:val="24"/>
          <w:szCs w:val="24"/>
          <w:lang w:val="en-US"/>
        </w:rPr>
        <w:t xml:space="preserve"> </w:t>
      </w:r>
      <w:proofErr w:type="spellStart"/>
      <w:r w:rsidRPr="0036392F">
        <w:rPr>
          <w:i/>
          <w:sz w:val="24"/>
          <w:szCs w:val="24"/>
          <w:lang w:val="en-US"/>
        </w:rPr>
        <w:t>saca</w:t>
      </w:r>
      <w:proofErr w:type="spellEnd"/>
      <w:r w:rsidRPr="0036392F">
        <w:rPr>
          <w:i/>
          <w:sz w:val="24"/>
          <w:szCs w:val="24"/>
          <w:lang w:val="en-US"/>
        </w:rPr>
        <w:t xml:space="preserve"> (3319) (1) </w:t>
      </w:r>
      <w:proofErr w:type="spellStart"/>
      <w:r w:rsidRPr="0036392F">
        <w:rPr>
          <w:i/>
          <w:sz w:val="24"/>
          <w:szCs w:val="24"/>
          <w:lang w:val="en-US"/>
        </w:rPr>
        <w:t>būhe</w:t>
      </w:r>
      <w:proofErr w:type="spellEnd"/>
      <w:r w:rsidRPr="0036392F">
        <w:rPr>
          <w:i/>
          <w:sz w:val="24"/>
          <w:szCs w:val="24"/>
          <w:lang w:val="en-US"/>
        </w:rPr>
        <w:t xml:space="preserve"> :</w:t>
      </w:r>
      <w:r w:rsidRPr="0036392F">
        <w:rPr>
          <w:sz w:val="24"/>
          <w:szCs w:val="24"/>
          <w:lang w:val="en-US"/>
        </w:rPr>
        <w:t xml:space="preserve"> </w:t>
      </w:r>
      <w:r w:rsidRPr="00B05EAD">
        <w:rPr>
          <w:i/>
          <w:iCs/>
          <w:sz w:val="24"/>
          <w:szCs w:val="24"/>
          <w:lang w:val="en-US"/>
        </w:rPr>
        <w:t xml:space="preserve">Jiu </w:t>
      </w:r>
      <w:proofErr w:type="spellStart"/>
      <w:r w:rsidRPr="00B05EAD">
        <w:rPr>
          <w:i/>
          <w:iCs/>
          <w:sz w:val="24"/>
          <w:szCs w:val="24"/>
          <w:lang w:val="en-US"/>
        </w:rPr>
        <w:t>Manzhou</w:t>
      </w:r>
      <w:proofErr w:type="spellEnd"/>
      <w:r w:rsidRPr="00B05EAD">
        <w:rPr>
          <w:i/>
          <w:iCs/>
          <w:sz w:val="24"/>
          <w:szCs w:val="24"/>
          <w:lang w:val="en-US"/>
        </w:rPr>
        <w:t xml:space="preserve"> Dang</w:t>
      </w:r>
      <w:r>
        <w:rPr>
          <w:sz w:val="24"/>
          <w:szCs w:val="24"/>
          <w:lang w:val="en-US"/>
        </w:rPr>
        <w:t xml:space="preserve"> quoted after Gruber (</w:t>
      </w:r>
      <w:r w:rsidRPr="0036392F">
        <w:rPr>
          <w:sz w:val="24"/>
          <w:szCs w:val="24"/>
          <w:lang w:val="en-US"/>
        </w:rPr>
        <w:t>2</w:t>
      </w:r>
      <w:r>
        <w:rPr>
          <w:sz w:val="24"/>
          <w:szCs w:val="24"/>
          <w:lang w:val="en-US"/>
        </w:rPr>
        <w:t>006</w:t>
      </w:r>
      <w:r w:rsidRPr="0036392F">
        <w:rPr>
          <w:sz w:val="24"/>
          <w:szCs w:val="24"/>
          <w:lang w:val="en-US"/>
        </w:rPr>
        <w:t>: 40</w:t>
      </w:r>
      <w:r>
        <w:rPr>
          <w:sz w:val="24"/>
          <w:szCs w:val="24"/>
          <w:lang w:val="en-US"/>
        </w:rPr>
        <w:t>)</w:t>
      </w:r>
      <w:r w:rsidRPr="0036392F">
        <w:rPr>
          <w:sz w:val="24"/>
          <w:szCs w:val="24"/>
          <w:lang w:val="en-US"/>
        </w:rPr>
        <w:t>.</w:t>
      </w:r>
    </w:p>
  </w:endnote>
  <w:endnote w:id="14">
    <w:p w:rsidR="00106337" w:rsidRPr="00B05EAD"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An example for this kind of record keeping can also be found in the </w:t>
      </w:r>
      <w:r w:rsidRPr="0036392F">
        <w:rPr>
          <w:i/>
          <w:iCs/>
          <w:sz w:val="24"/>
          <w:szCs w:val="24"/>
          <w:lang w:val="en-US"/>
        </w:rPr>
        <w:t xml:space="preserve">Jiu </w:t>
      </w:r>
      <w:proofErr w:type="spellStart"/>
      <w:r w:rsidRPr="0036392F">
        <w:rPr>
          <w:i/>
          <w:iCs/>
          <w:sz w:val="24"/>
          <w:szCs w:val="24"/>
          <w:lang w:val="en-US"/>
        </w:rPr>
        <w:t>Manzhou</w:t>
      </w:r>
      <w:proofErr w:type="spellEnd"/>
      <w:r w:rsidRPr="0036392F">
        <w:rPr>
          <w:i/>
          <w:iCs/>
          <w:sz w:val="24"/>
          <w:szCs w:val="24"/>
          <w:lang w:val="en-US"/>
        </w:rPr>
        <w:t xml:space="preserve"> Dang</w:t>
      </w:r>
      <w:r w:rsidRPr="0036392F">
        <w:rPr>
          <w:sz w:val="24"/>
          <w:szCs w:val="24"/>
          <w:lang w:val="en-US"/>
        </w:rPr>
        <w:t xml:space="preserve"> </w:t>
      </w:r>
      <w:r>
        <w:rPr>
          <w:sz w:val="24"/>
          <w:szCs w:val="24"/>
          <w:lang w:val="en-US"/>
        </w:rPr>
        <w:t>(</w:t>
      </w:r>
      <w:r w:rsidRPr="0036392F">
        <w:rPr>
          <w:sz w:val="24"/>
          <w:szCs w:val="24"/>
          <w:lang w:val="en-US"/>
        </w:rPr>
        <w:t>1969</w:t>
      </w:r>
      <w:r>
        <w:rPr>
          <w:sz w:val="24"/>
          <w:szCs w:val="24"/>
          <w:lang w:val="en-US"/>
        </w:rPr>
        <w:t>)</w:t>
      </w:r>
      <w:r w:rsidRPr="0036392F">
        <w:rPr>
          <w:sz w:val="24"/>
          <w:szCs w:val="24"/>
          <w:lang w:val="en-US"/>
        </w:rPr>
        <w:t xml:space="preserve">: fol. 4554-4555, where the gifts of the Mongol delegation under the aegis of the </w:t>
      </w:r>
      <w:proofErr w:type="spellStart"/>
      <w:r w:rsidRPr="0036392F">
        <w:rPr>
          <w:sz w:val="24"/>
          <w:szCs w:val="24"/>
          <w:lang w:val="en-US"/>
        </w:rPr>
        <w:t>Sečen</w:t>
      </w:r>
      <w:proofErr w:type="spellEnd"/>
      <w:r w:rsidRPr="0036392F">
        <w:rPr>
          <w:sz w:val="24"/>
          <w:szCs w:val="24"/>
          <w:lang w:val="en-US"/>
        </w:rPr>
        <w:t xml:space="preserve"> </w:t>
      </w:r>
      <w:proofErr w:type="spellStart"/>
      <w:r w:rsidRPr="0036392F">
        <w:rPr>
          <w:sz w:val="24"/>
          <w:szCs w:val="24"/>
          <w:lang w:val="en-US"/>
        </w:rPr>
        <w:t>Qan</w:t>
      </w:r>
      <w:proofErr w:type="spellEnd"/>
      <w:r w:rsidRPr="0036392F">
        <w:rPr>
          <w:sz w:val="24"/>
          <w:szCs w:val="24"/>
          <w:lang w:val="en-US"/>
        </w:rPr>
        <w:t xml:space="preserve"> </w:t>
      </w:r>
      <w:proofErr w:type="spellStart"/>
      <w:r w:rsidRPr="0036392F">
        <w:rPr>
          <w:sz w:val="24"/>
          <w:szCs w:val="24"/>
          <w:lang w:val="en-US"/>
        </w:rPr>
        <w:t>Šoloi</w:t>
      </w:r>
      <w:proofErr w:type="spellEnd"/>
      <w:r w:rsidRPr="0036392F">
        <w:rPr>
          <w:sz w:val="24"/>
          <w:szCs w:val="24"/>
          <w:lang w:val="en-US"/>
        </w:rPr>
        <w:t xml:space="preserve"> of the </w:t>
      </w:r>
      <w:proofErr w:type="spellStart"/>
      <w:r w:rsidRPr="0036392F">
        <w:rPr>
          <w:sz w:val="24"/>
          <w:szCs w:val="24"/>
          <w:lang w:val="en-US"/>
        </w:rPr>
        <w:t>Qalqa</w:t>
      </w:r>
      <w:proofErr w:type="spellEnd"/>
      <w:r w:rsidRPr="0036392F">
        <w:rPr>
          <w:sz w:val="24"/>
          <w:szCs w:val="24"/>
          <w:lang w:val="en-US"/>
        </w:rPr>
        <w:t xml:space="preserve"> are listed, which reached the Manchu court in January 1636. A translation of this passage is given by </w:t>
      </w:r>
      <w:proofErr w:type="spellStart"/>
      <w:r w:rsidRPr="0036392F">
        <w:rPr>
          <w:sz w:val="24"/>
          <w:szCs w:val="24"/>
          <w:lang w:val="en-US"/>
        </w:rPr>
        <w:t>Weiers</w:t>
      </w:r>
      <w:proofErr w:type="spellEnd"/>
      <w:r w:rsidRPr="0036392F">
        <w:rPr>
          <w:sz w:val="24"/>
          <w:szCs w:val="24"/>
          <w:lang w:val="en-US"/>
        </w:rPr>
        <w:t xml:space="preserve"> </w:t>
      </w:r>
      <w:r>
        <w:rPr>
          <w:sz w:val="24"/>
          <w:szCs w:val="24"/>
          <w:lang w:val="en-US"/>
        </w:rPr>
        <w:t>(</w:t>
      </w:r>
      <w:r w:rsidRPr="0036392F">
        <w:rPr>
          <w:sz w:val="24"/>
          <w:szCs w:val="24"/>
          <w:lang w:val="en-US"/>
        </w:rPr>
        <w:t>1987: 110</w:t>
      </w:r>
      <w:r>
        <w:rPr>
          <w:sz w:val="24"/>
          <w:szCs w:val="24"/>
          <w:lang w:val="en-US"/>
        </w:rPr>
        <w:t>)</w:t>
      </w:r>
      <w:r w:rsidRPr="0036392F">
        <w:rPr>
          <w:sz w:val="24"/>
          <w:szCs w:val="24"/>
          <w:lang w:val="en-US"/>
        </w:rPr>
        <w:t>.</w:t>
      </w:r>
    </w:p>
  </w:endnote>
  <w:endnote w:id="15">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Mongol text in </w:t>
      </w:r>
      <w:proofErr w:type="spellStart"/>
      <w:r w:rsidRPr="0036392F">
        <w:rPr>
          <w:i/>
          <w:iCs/>
          <w:sz w:val="24"/>
          <w:szCs w:val="24"/>
          <w:lang w:val="en-US"/>
        </w:rPr>
        <w:t>Mong</w:t>
      </w:r>
      <w:proofErr w:type="spellEnd"/>
      <w:r w:rsidRPr="0036392F">
        <w:rPr>
          <w:i/>
          <w:iCs/>
          <w:sz w:val="24"/>
          <w:szCs w:val="24"/>
        </w:rPr>
        <w:t>γ</w:t>
      </w:r>
      <w:proofErr w:type="spellStart"/>
      <w:r w:rsidRPr="0036392F">
        <w:rPr>
          <w:i/>
          <w:iCs/>
          <w:sz w:val="24"/>
          <w:szCs w:val="24"/>
          <w:lang w:val="en-US"/>
        </w:rPr>
        <w:t>ol</w:t>
      </w:r>
      <w:proofErr w:type="spellEnd"/>
      <w:r w:rsidRPr="0036392F">
        <w:rPr>
          <w:i/>
          <w:iCs/>
          <w:sz w:val="24"/>
          <w:szCs w:val="24"/>
          <w:lang w:val="en-US"/>
        </w:rPr>
        <w:t xml:space="preserve"> </w:t>
      </w:r>
      <w:proofErr w:type="spellStart"/>
      <w:r w:rsidRPr="0036392F">
        <w:rPr>
          <w:i/>
          <w:iCs/>
          <w:sz w:val="24"/>
          <w:szCs w:val="24"/>
          <w:lang w:val="en-US"/>
        </w:rPr>
        <w:t>dangse</w:t>
      </w:r>
      <w:proofErr w:type="spellEnd"/>
      <w:r w:rsidRPr="0036392F">
        <w:rPr>
          <w:iCs/>
          <w:sz w:val="24"/>
          <w:szCs w:val="24"/>
          <w:lang w:val="en-US"/>
        </w:rPr>
        <w:t xml:space="preserve"> </w:t>
      </w:r>
      <w:r>
        <w:rPr>
          <w:iCs/>
          <w:sz w:val="24"/>
          <w:szCs w:val="24"/>
          <w:lang w:val="en-US"/>
        </w:rPr>
        <w:t>(</w:t>
      </w:r>
      <w:r w:rsidRPr="0036392F">
        <w:rPr>
          <w:iCs/>
          <w:sz w:val="24"/>
          <w:szCs w:val="24"/>
          <w:lang w:val="en-US"/>
        </w:rPr>
        <w:t>2003: vol. 1, 202/203</w:t>
      </w:r>
      <w:r>
        <w:rPr>
          <w:iCs/>
          <w:sz w:val="24"/>
          <w:szCs w:val="24"/>
          <w:lang w:val="en-US"/>
        </w:rPr>
        <w:t>)</w:t>
      </w:r>
      <w:r w:rsidRPr="0036392F">
        <w:rPr>
          <w:iCs/>
          <w:sz w:val="24"/>
          <w:szCs w:val="24"/>
          <w:lang w:val="en-US"/>
        </w:rPr>
        <w:t>. 202 (</w:t>
      </w:r>
      <w:r w:rsidRPr="0036392F">
        <w:rPr>
          <w:sz w:val="24"/>
          <w:szCs w:val="24"/>
          <w:lang w:val="en-US"/>
        </w:rPr>
        <w:t>1)</w:t>
      </w:r>
      <w:r>
        <w:rPr>
          <w:sz w:val="24"/>
          <w:szCs w:val="24"/>
          <w:lang w:val="en-US"/>
        </w:rPr>
        <w:t xml:space="preserve"> </w:t>
      </w:r>
      <w:proofErr w:type="spellStart"/>
      <w:r w:rsidRPr="0036392F">
        <w:rPr>
          <w:sz w:val="24"/>
          <w:szCs w:val="24"/>
          <w:lang w:val="en-US"/>
        </w:rPr>
        <w:t>o</w:t>
      </w:r>
      <w:proofErr w:type="spellEnd"/>
      <w:r w:rsidRPr="0036392F">
        <w:rPr>
          <w:sz w:val="24"/>
          <w:szCs w:val="24"/>
          <w:lang w:val="en-US"/>
        </w:rPr>
        <w:t xml:space="preserve"> </w:t>
      </w:r>
      <w:r w:rsidRPr="0036392F">
        <w:rPr>
          <w:i/>
          <w:iCs/>
          <w:sz w:val="24"/>
          <w:szCs w:val="24"/>
          <w:lang w:val="en-US"/>
        </w:rPr>
        <w:t>a</w:t>
      </w:r>
      <w:r w:rsidRPr="0036392F">
        <w:rPr>
          <w:i/>
          <w:iCs/>
          <w:sz w:val="24"/>
          <w:szCs w:val="24"/>
        </w:rPr>
        <w:t>γ</w:t>
      </w:r>
      <w:proofErr w:type="spellStart"/>
      <w:r w:rsidRPr="0036392F">
        <w:rPr>
          <w:i/>
          <w:iCs/>
          <w:sz w:val="24"/>
          <w:szCs w:val="24"/>
          <w:lang w:val="en-US"/>
        </w:rPr>
        <w:t>uda</w:t>
      </w:r>
      <w:proofErr w:type="spellEnd"/>
      <w:r w:rsidRPr="0036392F">
        <w:rPr>
          <w:i/>
          <w:iCs/>
          <w:sz w:val="24"/>
          <w:szCs w:val="24"/>
          <w:lang w:val="en-US"/>
        </w:rPr>
        <w:t xml:space="preserve"> </w:t>
      </w:r>
      <w:proofErr w:type="spellStart"/>
      <w:r w:rsidRPr="0036392F">
        <w:rPr>
          <w:i/>
          <w:iCs/>
          <w:sz w:val="24"/>
          <w:szCs w:val="24"/>
          <w:lang w:val="en-US"/>
        </w:rPr>
        <w:t>örösiyegči</w:t>
      </w:r>
      <w:proofErr w:type="spellEnd"/>
      <w:r w:rsidRPr="0036392F">
        <w:rPr>
          <w:i/>
          <w:iCs/>
          <w:sz w:val="24"/>
          <w:szCs w:val="24"/>
          <w:lang w:val="en-US"/>
        </w:rPr>
        <w:t xml:space="preserve"> </w:t>
      </w:r>
      <w:proofErr w:type="spellStart"/>
      <w:r w:rsidRPr="0036392F">
        <w:rPr>
          <w:i/>
          <w:iCs/>
          <w:sz w:val="24"/>
          <w:szCs w:val="24"/>
          <w:lang w:val="en-US"/>
        </w:rPr>
        <w:t>nayiramdaqu</w:t>
      </w:r>
      <w:proofErr w:type="spellEnd"/>
      <w:r w:rsidRPr="0036392F">
        <w:rPr>
          <w:i/>
          <w:iCs/>
          <w:sz w:val="24"/>
          <w:szCs w:val="24"/>
          <w:lang w:val="en-US"/>
        </w:rPr>
        <w:t xml:space="preserve"> . (2)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 xml:space="preserve">an-u </w:t>
      </w:r>
      <w:proofErr w:type="spellStart"/>
      <w:r w:rsidRPr="0036392F">
        <w:rPr>
          <w:i/>
          <w:iCs/>
          <w:sz w:val="24"/>
          <w:szCs w:val="24"/>
          <w:lang w:val="en-US"/>
        </w:rPr>
        <w:t>jarla</w:t>
      </w:r>
      <w:proofErr w:type="spellEnd"/>
      <w:r w:rsidRPr="0036392F">
        <w:rPr>
          <w:i/>
          <w:iCs/>
          <w:sz w:val="24"/>
          <w:szCs w:val="24"/>
        </w:rPr>
        <w:t>γ</w:t>
      </w:r>
      <w:r w:rsidRPr="0036392F">
        <w:rPr>
          <w:i/>
          <w:iCs/>
          <w:sz w:val="24"/>
          <w:szCs w:val="24"/>
          <w:lang w:val="en-US"/>
        </w:rPr>
        <w:t xml:space="preserve"> : </w:t>
      </w:r>
      <w:proofErr w:type="spellStart"/>
      <w:r w:rsidRPr="0036392F">
        <w:rPr>
          <w:i/>
          <w:iCs/>
          <w:sz w:val="24"/>
          <w:szCs w:val="24"/>
          <w:lang w:val="en-US"/>
        </w:rPr>
        <w:t>tümen</w:t>
      </w:r>
      <w:proofErr w:type="spellEnd"/>
      <w:r w:rsidRPr="0036392F">
        <w:rPr>
          <w:i/>
          <w:iCs/>
          <w:sz w:val="24"/>
          <w:szCs w:val="24"/>
          <w:lang w:val="en-US"/>
        </w:rPr>
        <w:t xml:space="preserve"> </w:t>
      </w:r>
      <w:proofErr w:type="spellStart"/>
      <w:r w:rsidRPr="0036392F">
        <w:rPr>
          <w:i/>
          <w:iCs/>
          <w:sz w:val="24"/>
          <w:szCs w:val="24"/>
          <w:lang w:val="en-US"/>
        </w:rPr>
        <w:t>nasutu</w:t>
      </w:r>
      <w:proofErr w:type="spellEnd"/>
      <w:r w:rsidRPr="0036392F">
        <w:rPr>
          <w:i/>
          <w:iCs/>
          <w:sz w:val="24"/>
          <w:szCs w:val="24"/>
          <w:lang w:val="en-US"/>
        </w:rPr>
        <w:t xml:space="preserve"> (3)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an-</w:t>
      </w:r>
      <w:proofErr w:type="spellStart"/>
      <w:r w:rsidRPr="0036392F">
        <w:rPr>
          <w:i/>
          <w:iCs/>
          <w:sz w:val="24"/>
          <w:szCs w:val="24"/>
          <w:lang w:val="en-US"/>
        </w:rPr>
        <w:t>i</w:t>
      </w:r>
      <w:proofErr w:type="spellEnd"/>
      <w:r w:rsidRPr="0036392F">
        <w:rPr>
          <w:i/>
          <w:iCs/>
          <w:sz w:val="24"/>
          <w:szCs w:val="24"/>
          <w:lang w:val="en-US"/>
        </w:rPr>
        <w:t xml:space="preserve"> </w:t>
      </w:r>
      <w:proofErr w:type="spellStart"/>
      <w:r w:rsidRPr="0036392F">
        <w:rPr>
          <w:i/>
          <w:iCs/>
          <w:sz w:val="24"/>
          <w:szCs w:val="24"/>
          <w:lang w:val="en-US"/>
        </w:rPr>
        <w:t>törögsen</w:t>
      </w:r>
      <w:proofErr w:type="spellEnd"/>
      <w:r w:rsidRPr="0036392F">
        <w:rPr>
          <w:i/>
          <w:iCs/>
          <w:sz w:val="24"/>
          <w:szCs w:val="24"/>
          <w:lang w:val="en-US"/>
        </w:rPr>
        <w:t xml:space="preserve"> </w:t>
      </w:r>
      <w:proofErr w:type="spellStart"/>
      <w:r w:rsidRPr="0036392F">
        <w:rPr>
          <w:i/>
          <w:iCs/>
          <w:sz w:val="24"/>
          <w:szCs w:val="24"/>
          <w:lang w:val="en-US"/>
        </w:rPr>
        <w:t>edür</w:t>
      </w:r>
      <w:proofErr w:type="spellEnd"/>
      <w:r w:rsidRPr="0036392F">
        <w:rPr>
          <w:i/>
          <w:iCs/>
          <w:sz w:val="24"/>
          <w:szCs w:val="24"/>
          <w:lang w:val="en-US"/>
        </w:rPr>
        <w:t xml:space="preserve"> </w:t>
      </w:r>
      <w:proofErr w:type="spellStart"/>
      <w:r w:rsidRPr="0036392F">
        <w:rPr>
          <w:i/>
          <w:iCs/>
          <w:sz w:val="24"/>
          <w:szCs w:val="24"/>
          <w:lang w:val="en-US"/>
        </w:rPr>
        <w:t>kiged</w:t>
      </w:r>
      <w:proofErr w:type="spellEnd"/>
      <w:r w:rsidRPr="0036392F">
        <w:rPr>
          <w:i/>
          <w:iCs/>
          <w:sz w:val="24"/>
          <w:szCs w:val="24"/>
          <w:lang w:val="en-US"/>
        </w:rPr>
        <w:t xml:space="preserve"> : sin-e </w:t>
      </w:r>
      <w:proofErr w:type="spellStart"/>
      <w:r w:rsidRPr="0036392F">
        <w:rPr>
          <w:i/>
          <w:iCs/>
          <w:sz w:val="24"/>
          <w:szCs w:val="24"/>
          <w:lang w:val="en-US"/>
        </w:rPr>
        <w:t>jil</w:t>
      </w:r>
      <w:proofErr w:type="spellEnd"/>
      <w:r w:rsidRPr="0036392F">
        <w:rPr>
          <w:i/>
          <w:iCs/>
          <w:sz w:val="24"/>
          <w:szCs w:val="24"/>
          <w:lang w:val="en-US"/>
        </w:rPr>
        <w:t xml:space="preserve"> </w:t>
      </w:r>
      <w:proofErr w:type="spellStart"/>
      <w:r w:rsidRPr="0036392F">
        <w:rPr>
          <w:i/>
          <w:iCs/>
          <w:sz w:val="24"/>
          <w:szCs w:val="24"/>
          <w:lang w:val="en-US"/>
        </w:rPr>
        <w:t>orobasu</w:t>
      </w:r>
      <w:proofErr w:type="spellEnd"/>
      <w:r w:rsidRPr="0036392F">
        <w:rPr>
          <w:i/>
          <w:iCs/>
          <w:sz w:val="24"/>
          <w:szCs w:val="24"/>
          <w:lang w:val="en-US"/>
        </w:rPr>
        <w:t xml:space="preserve"> </w:t>
      </w:r>
      <w:proofErr w:type="spellStart"/>
      <w:r w:rsidRPr="0036392F">
        <w:rPr>
          <w:i/>
          <w:iCs/>
          <w:sz w:val="24"/>
          <w:szCs w:val="24"/>
          <w:lang w:val="en-US"/>
        </w:rPr>
        <w:t>ba</w:t>
      </w:r>
      <w:proofErr w:type="spellEnd"/>
      <w:r w:rsidRPr="0036392F">
        <w:rPr>
          <w:i/>
          <w:iCs/>
          <w:sz w:val="24"/>
          <w:szCs w:val="24"/>
          <w:lang w:val="en-US"/>
        </w:rPr>
        <w:t xml:space="preserve"> : </w:t>
      </w:r>
      <w:proofErr w:type="spellStart"/>
      <w:r w:rsidRPr="0036392F">
        <w:rPr>
          <w:i/>
          <w:iCs/>
          <w:sz w:val="24"/>
          <w:szCs w:val="24"/>
          <w:lang w:val="en-US"/>
        </w:rPr>
        <w:t>yeke</w:t>
      </w:r>
      <w:proofErr w:type="spellEnd"/>
      <w:r w:rsidRPr="0036392F">
        <w:rPr>
          <w:i/>
          <w:iCs/>
          <w:sz w:val="24"/>
          <w:szCs w:val="24"/>
          <w:lang w:val="en-US"/>
        </w:rPr>
        <w:t xml:space="preserve"> </w:t>
      </w:r>
      <w:proofErr w:type="spellStart"/>
      <w:r w:rsidRPr="0036392F">
        <w:rPr>
          <w:i/>
          <w:iCs/>
          <w:sz w:val="24"/>
          <w:szCs w:val="24"/>
          <w:lang w:val="en-US"/>
        </w:rPr>
        <w:t>bayasqulang</w:t>
      </w:r>
      <w:proofErr w:type="spellEnd"/>
      <w:r w:rsidRPr="0036392F">
        <w:rPr>
          <w:i/>
          <w:iCs/>
          <w:sz w:val="24"/>
          <w:szCs w:val="24"/>
          <w:lang w:val="en-US"/>
        </w:rPr>
        <w:t xml:space="preserve">-un (4) </w:t>
      </w:r>
      <w:proofErr w:type="spellStart"/>
      <w:r w:rsidRPr="0036392F">
        <w:rPr>
          <w:i/>
          <w:iCs/>
          <w:sz w:val="24"/>
          <w:szCs w:val="24"/>
          <w:lang w:val="en-US"/>
        </w:rPr>
        <w:t>uči</w:t>
      </w:r>
      <w:r w:rsidR="006153FC">
        <w:rPr>
          <w:i/>
          <w:iCs/>
          <w:sz w:val="24"/>
          <w:szCs w:val="24"/>
          <w:lang w:val="en-US"/>
        </w:rPr>
        <w:t>r</w:t>
      </w:r>
      <w:proofErr w:type="spellEnd"/>
      <w:r w:rsidR="006153FC">
        <w:rPr>
          <w:i/>
          <w:iCs/>
          <w:sz w:val="24"/>
          <w:szCs w:val="24"/>
          <w:lang w:val="en-US"/>
        </w:rPr>
        <w:t xml:space="preserve">-a : </w:t>
      </w:r>
      <w:proofErr w:type="spellStart"/>
      <w:r w:rsidR="006153FC">
        <w:rPr>
          <w:i/>
          <w:iCs/>
          <w:sz w:val="24"/>
          <w:szCs w:val="24"/>
          <w:lang w:val="en-US"/>
        </w:rPr>
        <w:t>ergükü</w:t>
      </w:r>
      <w:proofErr w:type="spellEnd"/>
      <w:r w:rsidR="006153FC">
        <w:rPr>
          <w:i/>
          <w:iCs/>
          <w:sz w:val="24"/>
          <w:szCs w:val="24"/>
          <w:lang w:val="en-US"/>
        </w:rPr>
        <w:t xml:space="preserve"> </w:t>
      </w:r>
      <w:proofErr w:type="spellStart"/>
      <w:r w:rsidR="006153FC">
        <w:rPr>
          <w:i/>
          <w:iCs/>
          <w:sz w:val="24"/>
          <w:szCs w:val="24"/>
          <w:lang w:val="en-US"/>
        </w:rPr>
        <w:t>beleg-i</w:t>
      </w:r>
      <w:proofErr w:type="spellEnd"/>
      <w:r w:rsidR="006153FC">
        <w:rPr>
          <w:i/>
          <w:iCs/>
          <w:sz w:val="24"/>
          <w:szCs w:val="24"/>
          <w:lang w:val="en-US"/>
        </w:rPr>
        <w:t xml:space="preserve"> </w:t>
      </w:r>
      <w:proofErr w:type="spellStart"/>
      <w:r w:rsidR="006153FC">
        <w:rPr>
          <w:i/>
          <w:iCs/>
          <w:sz w:val="24"/>
          <w:szCs w:val="24"/>
          <w:lang w:val="en-US"/>
        </w:rPr>
        <w:t>yeke</w:t>
      </w:r>
      <w:proofErr w:type="spellEnd"/>
      <w:r w:rsidR="006153FC">
        <w:rPr>
          <w:i/>
          <w:iCs/>
          <w:sz w:val="24"/>
          <w:szCs w:val="24"/>
          <w:lang w:val="en-US"/>
        </w:rPr>
        <w:t xml:space="preserve"> </w:t>
      </w:r>
      <w:proofErr w:type="spellStart"/>
      <w:r w:rsidR="006153FC">
        <w:rPr>
          <w:i/>
          <w:iCs/>
          <w:sz w:val="24"/>
          <w:szCs w:val="24"/>
          <w:lang w:val="en-US"/>
        </w:rPr>
        <w:t>gejü</w:t>
      </w:r>
      <w:proofErr w:type="spellEnd"/>
      <w:r w:rsidR="006153FC">
        <w:rPr>
          <w:i/>
          <w:iCs/>
          <w:sz w:val="24"/>
          <w:szCs w:val="24"/>
          <w:lang w:val="en-US"/>
        </w:rPr>
        <w:t xml:space="preserve"> </w:t>
      </w:r>
      <w:proofErr w:type="spellStart"/>
      <w:r w:rsidRPr="0036392F">
        <w:rPr>
          <w:i/>
          <w:iCs/>
          <w:sz w:val="24"/>
          <w:szCs w:val="24"/>
          <w:lang w:val="en-US"/>
        </w:rPr>
        <w:t>törö</w:t>
      </w:r>
      <w:proofErr w:type="spellEnd"/>
      <w:r w:rsidRPr="0036392F">
        <w:rPr>
          <w:i/>
          <w:iCs/>
          <w:sz w:val="24"/>
          <w:szCs w:val="24"/>
          <w:lang w:val="en-US"/>
        </w:rPr>
        <w:t xml:space="preserve">-yin </w:t>
      </w:r>
      <w:proofErr w:type="spellStart"/>
      <w:r w:rsidRPr="0036392F">
        <w:rPr>
          <w:i/>
          <w:iCs/>
          <w:sz w:val="24"/>
          <w:szCs w:val="24"/>
          <w:lang w:val="en-US"/>
        </w:rPr>
        <w:t>yabudal</w:t>
      </w:r>
      <w:proofErr w:type="spellEnd"/>
      <w:r w:rsidRPr="0036392F">
        <w:rPr>
          <w:i/>
          <w:iCs/>
          <w:sz w:val="24"/>
          <w:szCs w:val="24"/>
          <w:lang w:val="en-US"/>
        </w:rPr>
        <w:t xml:space="preserve">-un (5) </w:t>
      </w:r>
      <w:proofErr w:type="spellStart"/>
      <w:r w:rsidRPr="0036392F">
        <w:rPr>
          <w:i/>
          <w:iCs/>
          <w:sz w:val="24"/>
          <w:szCs w:val="24"/>
          <w:lang w:val="en-US"/>
        </w:rPr>
        <w:t>yamun-dur</w:t>
      </w:r>
      <w:proofErr w:type="spellEnd"/>
      <w:r w:rsidRPr="0036392F">
        <w:rPr>
          <w:i/>
          <w:iCs/>
          <w:sz w:val="24"/>
          <w:szCs w:val="24"/>
          <w:lang w:val="en-US"/>
        </w:rPr>
        <w:t xml:space="preserve"> to</w:t>
      </w:r>
      <w:r w:rsidRPr="0036392F">
        <w:rPr>
          <w:i/>
          <w:iCs/>
          <w:sz w:val="24"/>
          <w:szCs w:val="24"/>
        </w:rPr>
        <w:t>γ</w:t>
      </w:r>
      <w:r w:rsidRPr="0036392F">
        <w:rPr>
          <w:i/>
          <w:iCs/>
          <w:sz w:val="24"/>
          <w:szCs w:val="24"/>
          <w:lang w:val="en-US"/>
        </w:rPr>
        <w:t>ta</w:t>
      </w:r>
      <w:r w:rsidRPr="0036392F">
        <w:rPr>
          <w:i/>
          <w:iCs/>
          <w:sz w:val="24"/>
          <w:szCs w:val="24"/>
        </w:rPr>
        <w:t>γ</w:t>
      </w:r>
      <w:proofErr w:type="spellStart"/>
      <w:r w:rsidRPr="0036392F">
        <w:rPr>
          <w:i/>
          <w:iCs/>
          <w:sz w:val="24"/>
          <w:szCs w:val="24"/>
          <w:lang w:val="en-US"/>
        </w:rPr>
        <w:t>abai</w:t>
      </w:r>
      <w:proofErr w:type="spellEnd"/>
      <w:r w:rsidRPr="0036392F">
        <w:rPr>
          <w:i/>
          <w:iCs/>
          <w:sz w:val="24"/>
          <w:szCs w:val="24"/>
          <w:lang w:val="en-US"/>
        </w:rPr>
        <w:t xml:space="preserve"> : </w:t>
      </w:r>
      <w:r w:rsidRPr="0036392F">
        <w:rPr>
          <w:i/>
          <w:iCs/>
          <w:sz w:val="24"/>
          <w:szCs w:val="24"/>
        </w:rPr>
        <w:t>γ</w:t>
      </w:r>
      <w:proofErr w:type="spellStart"/>
      <w:r w:rsidRPr="0036392F">
        <w:rPr>
          <w:i/>
          <w:iCs/>
          <w:sz w:val="24"/>
          <w:szCs w:val="24"/>
          <w:lang w:val="en-US"/>
        </w:rPr>
        <w:t>ada</w:t>
      </w:r>
      <w:proofErr w:type="spellEnd"/>
      <w:r w:rsidRPr="0036392F">
        <w:rPr>
          <w:i/>
          <w:iCs/>
          <w:sz w:val="24"/>
          <w:szCs w:val="24"/>
        </w:rPr>
        <w:t>γ</w:t>
      </w:r>
      <w:r w:rsidRPr="0036392F">
        <w:rPr>
          <w:i/>
          <w:iCs/>
          <w:sz w:val="24"/>
          <w:szCs w:val="24"/>
          <w:lang w:val="en-US"/>
        </w:rPr>
        <w:t xml:space="preserve">-a-du </w:t>
      </w:r>
      <w:proofErr w:type="spellStart"/>
      <w:r w:rsidRPr="0036392F">
        <w:rPr>
          <w:i/>
          <w:iCs/>
          <w:sz w:val="24"/>
          <w:szCs w:val="24"/>
          <w:lang w:val="en-US"/>
        </w:rPr>
        <w:t>ayima</w:t>
      </w:r>
      <w:proofErr w:type="spellEnd"/>
      <w:r w:rsidRPr="0036392F">
        <w:rPr>
          <w:i/>
          <w:iCs/>
          <w:sz w:val="24"/>
          <w:szCs w:val="24"/>
        </w:rPr>
        <w:t>γ</w:t>
      </w:r>
      <w:r w:rsidRPr="0036392F">
        <w:rPr>
          <w:i/>
          <w:iCs/>
          <w:sz w:val="24"/>
          <w:szCs w:val="24"/>
          <w:lang w:val="en-US"/>
        </w:rPr>
        <w:t xml:space="preserve">-un </w:t>
      </w:r>
      <w:proofErr w:type="spellStart"/>
      <w:r w:rsidRPr="0036392F">
        <w:rPr>
          <w:i/>
          <w:iCs/>
          <w:sz w:val="24"/>
          <w:szCs w:val="24"/>
          <w:lang w:val="en-US"/>
        </w:rPr>
        <w:t>vang-ud</w:t>
      </w:r>
      <w:proofErr w:type="spellEnd"/>
      <w:r w:rsidRPr="0036392F">
        <w:rPr>
          <w:i/>
          <w:iCs/>
          <w:sz w:val="24"/>
          <w:szCs w:val="24"/>
          <w:lang w:val="en-US"/>
        </w:rPr>
        <w:t xml:space="preserve"> . </w:t>
      </w:r>
      <w:proofErr w:type="spellStart"/>
      <w:r w:rsidRPr="0036392F">
        <w:rPr>
          <w:i/>
          <w:iCs/>
          <w:sz w:val="24"/>
          <w:szCs w:val="24"/>
          <w:lang w:val="en-US"/>
        </w:rPr>
        <w:t>noyad</w:t>
      </w:r>
      <w:proofErr w:type="spellEnd"/>
      <w:r w:rsidRPr="0036392F">
        <w:rPr>
          <w:i/>
          <w:iCs/>
          <w:sz w:val="24"/>
          <w:szCs w:val="24"/>
          <w:lang w:val="en-US"/>
        </w:rPr>
        <w:t xml:space="preserve"> . (6) </w:t>
      </w:r>
      <w:proofErr w:type="spellStart"/>
      <w:r w:rsidRPr="0036392F">
        <w:rPr>
          <w:i/>
          <w:iCs/>
          <w:sz w:val="24"/>
          <w:szCs w:val="24"/>
          <w:lang w:val="en-US"/>
        </w:rPr>
        <w:t>tayiji</w:t>
      </w:r>
      <w:proofErr w:type="spellEnd"/>
      <w:r w:rsidRPr="0036392F">
        <w:rPr>
          <w:i/>
          <w:iCs/>
          <w:sz w:val="24"/>
          <w:szCs w:val="24"/>
          <w:lang w:val="en-US"/>
        </w:rPr>
        <w:t>-</w:t>
      </w:r>
      <w:proofErr w:type="spellStart"/>
      <w:r w:rsidRPr="0036392F">
        <w:rPr>
          <w:i/>
          <w:iCs/>
          <w:sz w:val="24"/>
          <w:szCs w:val="24"/>
          <w:lang w:val="en-US"/>
        </w:rPr>
        <w:t>nar</w:t>
      </w:r>
      <w:proofErr w:type="spellEnd"/>
      <w:r w:rsidRPr="0036392F">
        <w:rPr>
          <w:i/>
          <w:iCs/>
          <w:sz w:val="24"/>
          <w:szCs w:val="24"/>
          <w:lang w:val="en-US"/>
        </w:rPr>
        <w:t xml:space="preserve">-un </w:t>
      </w:r>
      <w:proofErr w:type="spellStart"/>
      <w:r w:rsidRPr="0036392F">
        <w:rPr>
          <w:i/>
          <w:iCs/>
          <w:sz w:val="24"/>
          <w:szCs w:val="24"/>
          <w:lang w:val="en-US"/>
        </w:rPr>
        <w:t>ergükü</w:t>
      </w:r>
      <w:proofErr w:type="spellEnd"/>
      <w:r w:rsidRPr="0036392F">
        <w:rPr>
          <w:i/>
          <w:iCs/>
          <w:sz w:val="24"/>
          <w:szCs w:val="24"/>
          <w:lang w:val="en-US"/>
        </w:rPr>
        <w:t xml:space="preserve"> </w:t>
      </w:r>
      <w:proofErr w:type="spellStart"/>
      <w:r w:rsidRPr="0036392F">
        <w:rPr>
          <w:i/>
          <w:iCs/>
          <w:sz w:val="24"/>
          <w:szCs w:val="24"/>
          <w:lang w:val="en-US"/>
        </w:rPr>
        <w:t>beleg-ün</w:t>
      </w:r>
      <w:proofErr w:type="spellEnd"/>
      <w:r w:rsidRPr="0036392F">
        <w:rPr>
          <w:i/>
          <w:iCs/>
          <w:sz w:val="24"/>
          <w:szCs w:val="24"/>
          <w:lang w:val="en-US"/>
        </w:rPr>
        <w:t xml:space="preserve"> to</w:t>
      </w:r>
      <w:r w:rsidRPr="0036392F">
        <w:rPr>
          <w:i/>
          <w:iCs/>
          <w:sz w:val="24"/>
          <w:szCs w:val="24"/>
        </w:rPr>
        <w:t>γ</w:t>
      </w:r>
      <w:r w:rsidRPr="0036392F">
        <w:rPr>
          <w:i/>
          <w:iCs/>
          <w:sz w:val="24"/>
          <w:szCs w:val="24"/>
          <w:lang w:val="en-US"/>
        </w:rPr>
        <w:t xml:space="preserve">-a : </w:t>
      </w:r>
      <w:proofErr w:type="spellStart"/>
      <w:r w:rsidRPr="0036392F">
        <w:rPr>
          <w:i/>
          <w:iCs/>
          <w:sz w:val="24"/>
          <w:szCs w:val="24"/>
          <w:lang w:val="en-US"/>
        </w:rPr>
        <w:t>qosi</w:t>
      </w:r>
      <w:proofErr w:type="spellEnd"/>
      <w:r w:rsidRPr="0036392F">
        <w:rPr>
          <w:i/>
          <w:iCs/>
          <w:sz w:val="24"/>
          <w:szCs w:val="24"/>
        </w:rPr>
        <w:t>γ</w:t>
      </w:r>
      <w:r w:rsidRPr="0036392F">
        <w:rPr>
          <w:i/>
          <w:iCs/>
          <w:sz w:val="24"/>
          <w:szCs w:val="24"/>
          <w:lang w:val="en-US"/>
        </w:rPr>
        <w:t xml:space="preserve">un </w:t>
      </w:r>
      <w:proofErr w:type="spellStart"/>
      <w:r w:rsidRPr="0036392F">
        <w:rPr>
          <w:i/>
          <w:iCs/>
          <w:sz w:val="24"/>
          <w:szCs w:val="24"/>
          <w:lang w:val="en-US"/>
        </w:rPr>
        <w:t>büri</w:t>
      </w:r>
      <w:proofErr w:type="spellEnd"/>
      <w:r w:rsidRPr="0036392F">
        <w:rPr>
          <w:i/>
          <w:iCs/>
          <w:sz w:val="24"/>
          <w:szCs w:val="24"/>
          <w:lang w:val="en-US"/>
        </w:rPr>
        <w:t xml:space="preserve"> : </w:t>
      </w:r>
      <w:proofErr w:type="spellStart"/>
      <w:r w:rsidRPr="0036392F">
        <w:rPr>
          <w:i/>
          <w:iCs/>
          <w:sz w:val="24"/>
          <w:szCs w:val="24"/>
          <w:lang w:val="en-US"/>
        </w:rPr>
        <w:t>tümen</w:t>
      </w:r>
      <w:proofErr w:type="spellEnd"/>
      <w:r w:rsidRPr="0036392F">
        <w:rPr>
          <w:i/>
          <w:iCs/>
          <w:sz w:val="24"/>
          <w:szCs w:val="24"/>
          <w:lang w:val="en-US"/>
        </w:rPr>
        <w:t xml:space="preserve"> </w:t>
      </w:r>
      <w:proofErr w:type="spellStart"/>
      <w:r w:rsidRPr="0036392F">
        <w:rPr>
          <w:i/>
          <w:iCs/>
          <w:sz w:val="24"/>
          <w:szCs w:val="24"/>
          <w:lang w:val="en-US"/>
        </w:rPr>
        <w:t>nasutu</w:t>
      </w:r>
      <w:proofErr w:type="spellEnd"/>
      <w:r w:rsidRPr="0036392F">
        <w:rPr>
          <w:i/>
          <w:iCs/>
          <w:sz w:val="24"/>
          <w:szCs w:val="24"/>
          <w:lang w:val="en-US"/>
        </w:rPr>
        <w:t xml:space="preserve"> (7)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 xml:space="preserve">an-u </w:t>
      </w:r>
      <w:proofErr w:type="spellStart"/>
      <w:r w:rsidRPr="0036392F">
        <w:rPr>
          <w:i/>
          <w:iCs/>
          <w:sz w:val="24"/>
          <w:szCs w:val="24"/>
          <w:lang w:val="en-US"/>
        </w:rPr>
        <w:t>törögsen</w:t>
      </w:r>
      <w:proofErr w:type="spellEnd"/>
      <w:r w:rsidRPr="0036392F">
        <w:rPr>
          <w:i/>
          <w:iCs/>
          <w:sz w:val="24"/>
          <w:szCs w:val="24"/>
          <w:lang w:val="en-US"/>
        </w:rPr>
        <w:t xml:space="preserve"> </w:t>
      </w:r>
      <w:proofErr w:type="spellStart"/>
      <w:r w:rsidRPr="0036392F">
        <w:rPr>
          <w:i/>
          <w:iCs/>
          <w:sz w:val="24"/>
          <w:szCs w:val="24"/>
          <w:lang w:val="en-US"/>
        </w:rPr>
        <w:t>edür</w:t>
      </w:r>
      <w:proofErr w:type="spellEnd"/>
      <w:r w:rsidRPr="0036392F">
        <w:rPr>
          <w:i/>
          <w:iCs/>
          <w:sz w:val="24"/>
          <w:szCs w:val="24"/>
          <w:lang w:val="en-US"/>
        </w:rPr>
        <w:t xml:space="preserve"> .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 xml:space="preserve">an-du </w:t>
      </w:r>
      <w:proofErr w:type="spellStart"/>
      <w:r w:rsidRPr="0036392F">
        <w:rPr>
          <w:i/>
          <w:iCs/>
          <w:sz w:val="24"/>
          <w:szCs w:val="24"/>
          <w:lang w:val="en-US"/>
        </w:rPr>
        <w:t>dörbeged</w:t>
      </w:r>
      <w:proofErr w:type="spellEnd"/>
      <w:r w:rsidRPr="0036392F">
        <w:rPr>
          <w:i/>
          <w:iCs/>
          <w:sz w:val="24"/>
          <w:szCs w:val="24"/>
          <w:lang w:val="en-US"/>
        </w:rPr>
        <w:t xml:space="preserve"> </w:t>
      </w:r>
      <w:proofErr w:type="spellStart"/>
      <w:r w:rsidRPr="0036392F">
        <w:rPr>
          <w:i/>
          <w:iCs/>
          <w:sz w:val="24"/>
          <w:szCs w:val="24"/>
          <w:lang w:val="en-US"/>
        </w:rPr>
        <w:t>morin</w:t>
      </w:r>
      <w:proofErr w:type="spellEnd"/>
      <w:r w:rsidRPr="0036392F">
        <w:rPr>
          <w:i/>
          <w:iCs/>
          <w:sz w:val="24"/>
          <w:szCs w:val="24"/>
          <w:lang w:val="en-US"/>
        </w:rPr>
        <w:t xml:space="preserve"> : 203 (1) ulus-un </w:t>
      </w:r>
      <w:proofErr w:type="spellStart"/>
      <w:r w:rsidRPr="0036392F">
        <w:rPr>
          <w:i/>
          <w:iCs/>
          <w:sz w:val="24"/>
          <w:szCs w:val="24"/>
          <w:lang w:val="en-US"/>
        </w:rPr>
        <w:t>ejen</w:t>
      </w:r>
      <w:proofErr w:type="spellEnd"/>
      <w:r w:rsidRPr="0036392F">
        <w:rPr>
          <w:i/>
          <w:iCs/>
          <w:sz w:val="24"/>
          <w:szCs w:val="24"/>
          <w:lang w:val="en-US"/>
        </w:rPr>
        <w:t xml:space="preserve"> </w:t>
      </w:r>
      <w:proofErr w:type="spellStart"/>
      <w:r w:rsidRPr="0036392F">
        <w:rPr>
          <w:i/>
          <w:iCs/>
          <w:sz w:val="24"/>
          <w:szCs w:val="24"/>
          <w:lang w:val="en-US"/>
        </w:rPr>
        <w:t>qatun-dur</w:t>
      </w:r>
      <w:proofErr w:type="spellEnd"/>
      <w:r w:rsidRPr="0036392F">
        <w:rPr>
          <w:i/>
          <w:iCs/>
          <w:sz w:val="24"/>
          <w:szCs w:val="24"/>
          <w:lang w:val="en-US"/>
        </w:rPr>
        <w:t xml:space="preserve"> . </w:t>
      </w:r>
      <w:proofErr w:type="spellStart"/>
      <w:r w:rsidRPr="0036392F">
        <w:rPr>
          <w:i/>
          <w:iCs/>
          <w:sz w:val="24"/>
          <w:szCs w:val="24"/>
          <w:lang w:val="en-US"/>
        </w:rPr>
        <w:t>qosiya</w:t>
      </w:r>
      <w:proofErr w:type="spellEnd"/>
      <w:r w:rsidRPr="0036392F">
        <w:rPr>
          <w:i/>
          <w:iCs/>
          <w:sz w:val="24"/>
          <w:szCs w:val="24"/>
        </w:rPr>
        <w:t>γ</w:t>
      </w:r>
      <w:r w:rsidRPr="0036392F">
        <w:rPr>
          <w:i/>
          <w:iCs/>
          <w:sz w:val="24"/>
          <w:szCs w:val="24"/>
          <w:lang w:val="en-US"/>
        </w:rPr>
        <w:t xml:space="preserve">ad </w:t>
      </w:r>
      <w:proofErr w:type="spellStart"/>
      <w:r w:rsidRPr="0036392F">
        <w:rPr>
          <w:i/>
          <w:iCs/>
          <w:sz w:val="24"/>
          <w:szCs w:val="24"/>
          <w:lang w:val="en-US"/>
        </w:rPr>
        <w:t>morin</w:t>
      </w:r>
      <w:proofErr w:type="spellEnd"/>
      <w:r w:rsidRPr="0036392F">
        <w:rPr>
          <w:i/>
          <w:iCs/>
          <w:sz w:val="24"/>
          <w:szCs w:val="24"/>
          <w:lang w:val="en-US"/>
        </w:rPr>
        <w:t xml:space="preserve"> : </w:t>
      </w:r>
      <w:proofErr w:type="spellStart"/>
      <w:r w:rsidRPr="0036392F">
        <w:rPr>
          <w:i/>
          <w:iCs/>
          <w:sz w:val="24"/>
          <w:szCs w:val="24"/>
          <w:lang w:val="en-US"/>
        </w:rPr>
        <w:t>sigüsü</w:t>
      </w:r>
      <w:proofErr w:type="spellEnd"/>
      <w:r w:rsidRPr="0036392F">
        <w:rPr>
          <w:i/>
          <w:iCs/>
          <w:sz w:val="24"/>
          <w:szCs w:val="24"/>
          <w:lang w:val="en-US"/>
        </w:rPr>
        <w:t xml:space="preserve"> </w:t>
      </w:r>
      <w:proofErr w:type="spellStart"/>
      <w:r w:rsidRPr="0036392F">
        <w:rPr>
          <w:i/>
          <w:iCs/>
          <w:sz w:val="24"/>
          <w:szCs w:val="24"/>
          <w:lang w:val="en-US"/>
        </w:rPr>
        <w:t>nijeged</w:t>
      </w:r>
      <w:proofErr w:type="spellEnd"/>
      <w:r w:rsidRPr="0036392F">
        <w:rPr>
          <w:i/>
          <w:iCs/>
          <w:sz w:val="24"/>
          <w:szCs w:val="24"/>
          <w:lang w:val="en-US"/>
        </w:rPr>
        <w:t xml:space="preserve"> </w:t>
      </w:r>
      <w:proofErr w:type="spellStart"/>
      <w:r w:rsidRPr="0036392F">
        <w:rPr>
          <w:i/>
          <w:iCs/>
          <w:sz w:val="24"/>
          <w:szCs w:val="24"/>
          <w:lang w:val="en-US"/>
        </w:rPr>
        <w:t>üker</w:t>
      </w:r>
      <w:proofErr w:type="spellEnd"/>
      <w:r w:rsidRPr="0036392F">
        <w:rPr>
          <w:i/>
          <w:iCs/>
          <w:sz w:val="24"/>
          <w:szCs w:val="24"/>
          <w:lang w:val="en-US"/>
        </w:rPr>
        <w:t xml:space="preserve"> . (2) </w:t>
      </w:r>
      <w:proofErr w:type="spellStart"/>
      <w:r w:rsidRPr="0036392F">
        <w:rPr>
          <w:i/>
          <w:iCs/>
          <w:sz w:val="24"/>
          <w:szCs w:val="24"/>
          <w:lang w:val="en-US"/>
        </w:rPr>
        <w:t>naima</w:t>
      </w:r>
      <w:proofErr w:type="spellEnd"/>
      <w:r w:rsidRPr="0036392F">
        <w:rPr>
          <w:i/>
          <w:iCs/>
          <w:sz w:val="24"/>
          <w:szCs w:val="24"/>
        </w:rPr>
        <w:t>γ</w:t>
      </w:r>
      <w:proofErr w:type="spellStart"/>
      <w:r w:rsidRPr="0036392F">
        <w:rPr>
          <w:i/>
          <w:iCs/>
          <w:sz w:val="24"/>
          <w:szCs w:val="24"/>
          <w:lang w:val="en-US"/>
        </w:rPr>
        <w:t>ad</w:t>
      </w:r>
      <w:proofErr w:type="spellEnd"/>
      <w:r w:rsidRPr="0036392F">
        <w:rPr>
          <w:i/>
          <w:iCs/>
          <w:sz w:val="24"/>
          <w:szCs w:val="24"/>
          <w:lang w:val="en-US"/>
        </w:rPr>
        <w:t xml:space="preserve"> </w:t>
      </w:r>
      <w:proofErr w:type="spellStart"/>
      <w:r w:rsidRPr="0036392F">
        <w:rPr>
          <w:i/>
          <w:iCs/>
          <w:sz w:val="24"/>
          <w:szCs w:val="24"/>
          <w:lang w:val="en-US"/>
        </w:rPr>
        <w:t>qoni</w:t>
      </w:r>
      <w:proofErr w:type="spellEnd"/>
      <w:r w:rsidRPr="0036392F">
        <w:rPr>
          <w:i/>
          <w:iCs/>
          <w:sz w:val="24"/>
          <w:szCs w:val="24"/>
          <w:lang w:val="en-US"/>
        </w:rPr>
        <w:t xml:space="preserve"> :: </w:t>
      </w:r>
      <w:proofErr w:type="spellStart"/>
      <w:r w:rsidRPr="0036392F">
        <w:rPr>
          <w:i/>
          <w:iCs/>
          <w:sz w:val="24"/>
          <w:szCs w:val="24"/>
          <w:lang w:val="en-US"/>
        </w:rPr>
        <w:t>yeke</w:t>
      </w:r>
      <w:proofErr w:type="spellEnd"/>
      <w:r w:rsidRPr="0036392F">
        <w:rPr>
          <w:i/>
          <w:iCs/>
          <w:sz w:val="24"/>
          <w:szCs w:val="24"/>
          <w:lang w:val="en-US"/>
        </w:rPr>
        <w:t xml:space="preserve"> </w:t>
      </w:r>
      <w:proofErr w:type="spellStart"/>
      <w:r w:rsidRPr="0036392F">
        <w:rPr>
          <w:i/>
          <w:iCs/>
          <w:sz w:val="24"/>
          <w:szCs w:val="24"/>
          <w:lang w:val="en-US"/>
        </w:rPr>
        <w:t>bayasqulang</w:t>
      </w:r>
      <w:proofErr w:type="spellEnd"/>
      <w:r w:rsidRPr="0036392F">
        <w:rPr>
          <w:i/>
          <w:iCs/>
          <w:sz w:val="24"/>
          <w:szCs w:val="24"/>
          <w:lang w:val="en-US"/>
        </w:rPr>
        <w:t xml:space="preserve"> </w:t>
      </w:r>
      <w:proofErr w:type="spellStart"/>
      <w:r w:rsidRPr="0036392F">
        <w:rPr>
          <w:i/>
          <w:iCs/>
          <w:sz w:val="24"/>
          <w:szCs w:val="24"/>
          <w:lang w:val="en-US"/>
        </w:rPr>
        <w:t>bolbasu</w:t>
      </w:r>
      <w:proofErr w:type="spellEnd"/>
      <w:r w:rsidRPr="0036392F">
        <w:rPr>
          <w:i/>
          <w:iCs/>
          <w:sz w:val="24"/>
          <w:szCs w:val="24"/>
          <w:lang w:val="en-US"/>
        </w:rPr>
        <w:t xml:space="preserve"> . </w:t>
      </w:r>
      <w:r w:rsidRPr="0036392F">
        <w:rPr>
          <w:i/>
          <w:iCs/>
          <w:sz w:val="24"/>
          <w:szCs w:val="24"/>
        </w:rPr>
        <w:t>γ</w:t>
      </w:r>
      <w:proofErr w:type="spellStart"/>
      <w:r w:rsidRPr="0036392F">
        <w:rPr>
          <w:i/>
          <w:iCs/>
          <w:sz w:val="24"/>
          <w:szCs w:val="24"/>
          <w:lang w:val="en-US"/>
        </w:rPr>
        <w:t>ada</w:t>
      </w:r>
      <w:proofErr w:type="spellEnd"/>
      <w:r w:rsidRPr="0036392F">
        <w:rPr>
          <w:i/>
          <w:iCs/>
          <w:sz w:val="24"/>
          <w:szCs w:val="24"/>
        </w:rPr>
        <w:t>γ</w:t>
      </w:r>
      <w:r w:rsidRPr="0036392F">
        <w:rPr>
          <w:i/>
          <w:iCs/>
          <w:sz w:val="24"/>
          <w:szCs w:val="24"/>
          <w:lang w:val="en-US"/>
        </w:rPr>
        <w:t xml:space="preserve">-a-du </w:t>
      </w:r>
      <w:proofErr w:type="spellStart"/>
      <w:r w:rsidRPr="0036392F">
        <w:rPr>
          <w:i/>
          <w:iCs/>
          <w:sz w:val="24"/>
          <w:szCs w:val="24"/>
          <w:lang w:val="en-US"/>
        </w:rPr>
        <w:t>ayima</w:t>
      </w:r>
      <w:proofErr w:type="spellEnd"/>
      <w:r w:rsidRPr="0036392F">
        <w:rPr>
          <w:i/>
          <w:iCs/>
          <w:sz w:val="24"/>
          <w:szCs w:val="24"/>
        </w:rPr>
        <w:t>γ</w:t>
      </w:r>
      <w:r w:rsidRPr="0036392F">
        <w:rPr>
          <w:i/>
          <w:iCs/>
          <w:sz w:val="24"/>
          <w:szCs w:val="24"/>
          <w:lang w:val="en-US"/>
        </w:rPr>
        <w:t xml:space="preserve">-un </w:t>
      </w:r>
      <w:proofErr w:type="spellStart"/>
      <w:r w:rsidRPr="0036392F">
        <w:rPr>
          <w:i/>
          <w:iCs/>
          <w:sz w:val="24"/>
          <w:szCs w:val="24"/>
          <w:lang w:val="en-US"/>
        </w:rPr>
        <w:t>vang-ud</w:t>
      </w:r>
      <w:proofErr w:type="spellEnd"/>
      <w:r w:rsidRPr="0036392F">
        <w:rPr>
          <w:i/>
          <w:iCs/>
          <w:sz w:val="24"/>
          <w:szCs w:val="24"/>
          <w:lang w:val="en-US"/>
        </w:rPr>
        <w:t xml:space="preserve"> (3) </w:t>
      </w:r>
      <w:proofErr w:type="spellStart"/>
      <w:r w:rsidRPr="0036392F">
        <w:rPr>
          <w:i/>
          <w:iCs/>
          <w:sz w:val="24"/>
          <w:szCs w:val="24"/>
          <w:lang w:val="en-US"/>
        </w:rPr>
        <w:t>noyad</w:t>
      </w:r>
      <w:proofErr w:type="spellEnd"/>
      <w:r w:rsidRPr="0036392F">
        <w:rPr>
          <w:i/>
          <w:iCs/>
          <w:sz w:val="24"/>
          <w:szCs w:val="24"/>
          <w:lang w:val="en-US"/>
        </w:rPr>
        <w:t xml:space="preserve"> . </w:t>
      </w:r>
      <w:proofErr w:type="spellStart"/>
      <w:r w:rsidRPr="0036392F">
        <w:rPr>
          <w:i/>
          <w:iCs/>
          <w:sz w:val="24"/>
          <w:szCs w:val="24"/>
          <w:lang w:val="en-US"/>
        </w:rPr>
        <w:t>tayiji-nar</w:t>
      </w:r>
      <w:proofErr w:type="spellEnd"/>
      <w:r w:rsidRPr="0036392F">
        <w:rPr>
          <w:i/>
          <w:iCs/>
          <w:sz w:val="24"/>
          <w:szCs w:val="24"/>
          <w:lang w:val="en-US"/>
        </w:rPr>
        <w:t xml:space="preserve"> .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an-</w:t>
      </w:r>
      <w:proofErr w:type="spellStart"/>
      <w:r w:rsidRPr="0036392F">
        <w:rPr>
          <w:i/>
          <w:iCs/>
          <w:sz w:val="24"/>
          <w:szCs w:val="24"/>
          <w:lang w:val="en-US"/>
        </w:rPr>
        <w:t>dur</w:t>
      </w:r>
      <w:proofErr w:type="spellEnd"/>
      <w:r w:rsidRPr="0036392F">
        <w:rPr>
          <w:i/>
          <w:iCs/>
          <w:sz w:val="24"/>
          <w:szCs w:val="24"/>
          <w:lang w:val="en-US"/>
        </w:rPr>
        <w:t xml:space="preserve"> . </w:t>
      </w:r>
      <w:proofErr w:type="spellStart"/>
      <w:r w:rsidRPr="0036392F">
        <w:rPr>
          <w:i/>
          <w:iCs/>
          <w:sz w:val="24"/>
          <w:szCs w:val="24"/>
          <w:lang w:val="en-US"/>
        </w:rPr>
        <w:t>qosiya</w:t>
      </w:r>
      <w:proofErr w:type="spellEnd"/>
      <w:r w:rsidRPr="0036392F">
        <w:rPr>
          <w:i/>
          <w:iCs/>
          <w:sz w:val="24"/>
          <w:szCs w:val="24"/>
        </w:rPr>
        <w:t>γ</w:t>
      </w:r>
      <w:r w:rsidRPr="0036392F">
        <w:rPr>
          <w:i/>
          <w:iCs/>
          <w:sz w:val="24"/>
          <w:szCs w:val="24"/>
          <w:lang w:val="en-US"/>
        </w:rPr>
        <w:t xml:space="preserve">ad </w:t>
      </w:r>
      <w:proofErr w:type="spellStart"/>
      <w:r w:rsidRPr="0036392F">
        <w:rPr>
          <w:i/>
          <w:iCs/>
          <w:sz w:val="24"/>
          <w:szCs w:val="24"/>
          <w:lang w:val="en-US"/>
        </w:rPr>
        <w:t>morin</w:t>
      </w:r>
      <w:proofErr w:type="spellEnd"/>
      <w:r w:rsidRPr="0036392F">
        <w:rPr>
          <w:i/>
          <w:iCs/>
          <w:sz w:val="24"/>
          <w:szCs w:val="24"/>
          <w:lang w:val="en-US"/>
        </w:rPr>
        <w:t xml:space="preserve"> : ulus-un (4) </w:t>
      </w:r>
      <w:proofErr w:type="spellStart"/>
      <w:r w:rsidRPr="0036392F">
        <w:rPr>
          <w:i/>
          <w:iCs/>
          <w:sz w:val="24"/>
          <w:szCs w:val="24"/>
          <w:lang w:val="en-US"/>
        </w:rPr>
        <w:t>ejen</w:t>
      </w:r>
      <w:proofErr w:type="spellEnd"/>
      <w:r w:rsidRPr="0036392F">
        <w:rPr>
          <w:i/>
          <w:iCs/>
          <w:sz w:val="24"/>
          <w:szCs w:val="24"/>
          <w:lang w:val="en-US"/>
        </w:rPr>
        <w:t xml:space="preserve"> </w:t>
      </w:r>
      <w:proofErr w:type="spellStart"/>
      <w:r w:rsidRPr="0036392F">
        <w:rPr>
          <w:i/>
          <w:iCs/>
          <w:sz w:val="24"/>
          <w:szCs w:val="24"/>
          <w:lang w:val="en-US"/>
        </w:rPr>
        <w:t>qatun-dur</w:t>
      </w:r>
      <w:proofErr w:type="spellEnd"/>
      <w:r w:rsidRPr="0036392F">
        <w:rPr>
          <w:i/>
          <w:iCs/>
          <w:sz w:val="24"/>
          <w:szCs w:val="24"/>
          <w:lang w:val="en-US"/>
        </w:rPr>
        <w:t xml:space="preserve"> . </w:t>
      </w:r>
      <w:proofErr w:type="spellStart"/>
      <w:r w:rsidRPr="0036392F">
        <w:rPr>
          <w:i/>
          <w:iCs/>
          <w:sz w:val="24"/>
          <w:szCs w:val="24"/>
          <w:lang w:val="en-US"/>
        </w:rPr>
        <w:t>nijeged</w:t>
      </w:r>
      <w:proofErr w:type="spellEnd"/>
      <w:r w:rsidRPr="0036392F">
        <w:rPr>
          <w:i/>
          <w:iCs/>
          <w:sz w:val="24"/>
          <w:szCs w:val="24"/>
          <w:lang w:val="en-US"/>
        </w:rPr>
        <w:t xml:space="preserve"> </w:t>
      </w:r>
      <w:proofErr w:type="spellStart"/>
      <w:r w:rsidRPr="0036392F">
        <w:rPr>
          <w:i/>
          <w:iCs/>
          <w:sz w:val="24"/>
          <w:szCs w:val="24"/>
          <w:lang w:val="en-US"/>
        </w:rPr>
        <w:t>morin</w:t>
      </w:r>
      <w:proofErr w:type="spellEnd"/>
      <w:r w:rsidRPr="0036392F">
        <w:rPr>
          <w:i/>
          <w:iCs/>
          <w:sz w:val="24"/>
          <w:szCs w:val="24"/>
          <w:lang w:val="en-US"/>
        </w:rPr>
        <w:t xml:space="preserve"> . </w:t>
      </w:r>
      <w:proofErr w:type="spellStart"/>
      <w:r w:rsidRPr="0036392F">
        <w:rPr>
          <w:i/>
          <w:iCs/>
          <w:sz w:val="24"/>
          <w:szCs w:val="24"/>
          <w:lang w:val="en-US"/>
        </w:rPr>
        <w:t>beleg</w:t>
      </w:r>
      <w:proofErr w:type="spellEnd"/>
      <w:r w:rsidRPr="0036392F">
        <w:rPr>
          <w:i/>
          <w:iCs/>
          <w:sz w:val="24"/>
          <w:szCs w:val="24"/>
          <w:lang w:val="en-US"/>
        </w:rPr>
        <w:t xml:space="preserve"> </w:t>
      </w:r>
      <w:proofErr w:type="spellStart"/>
      <w:r w:rsidRPr="0036392F">
        <w:rPr>
          <w:i/>
          <w:iCs/>
          <w:sz w:val="24"/>
          <w:szCs w:val="24"/>
          <w:lang w:val="en-US"/>
        </w:rPr>
        <w:t>ergükü</w:t>
      </w:r>
      <w:proofErr w:type="spellEnd"/>
      <w:r w:rsidRPr="0036392F">
        <w:rPr>
          <w:i/>
          <w:iCs/>
          <w:sz w:val="24"/>
          <w:szCs w:val="24"/>
          <w:lang w:val="en-US"/>
        </w:rPr>
        <w:t xml:space="preserve"> : </w:t>
      </w:r>
      <w:proofErr w:type="spellStart"/>
      <w:r w:rsidRPr="0036392F">
        <w:rPr>
          <w:i/>
          <w:iCs/>
          <w:sz w:val="24"/>
          <w:szCs w:val="24"/>
          <w:lang w:val="en-US"/>
        </w:rPr>
        <w:t>sigüsü</w:t>
      </w:r>
      <w:proofErr w:type="spellEnd"/>
      <w:r w:rsidRPr="0036392F">
        <w:rPr>
          <w:i/>
          <w:iCs/>
          <w:sz w:val="24"/>
          <w:szCs w:val="24"/>
          <w:lang w:val="en-US"/>
        </w:rPr>
        <w:t xml:space="preserve"> </w:t>
      </w:r>
      <w:proofErr w:type="spellStart"/>
      <w:r w:rsidRPr="0036392F">
        <w:rPr>
          <w:i/>
          <w:iCs/>
          <w:sz w:val="24"/>
          <w:szCs w:val="24"/>
          <w:lang w:val="en-US"/>
        </w:rPr>
        <w:t>nijeged</w:t>
      </w:r>
      <w:proofErr w:type="spellEnd"/>
      <w:r w:rsidRPr="0036392F">
        <w:rPr>
          <w:i/>
          <w:iCs/>
          <w:sz w:val="24"/>
          <w:szCs w:val="24"/>
          <w:lang w:val="en-US"/>
        </w:rPr>
        <w:t xml:space="preserve"> </w:t>
      </w:r>
      <w:proofErr w:type="spellStart"/>
      <w:r w:rsidRPr="0036392F">
        <w:rPr>
          <w:i/>
          <w:iCs/>
          <w:sz w:val="24"/>
          <w:szCs w:val="24"/>
          <w:lang w:val="en-US"/>
        </w:rPr>
        <w:t>üker</w:t>
      </w:r>
      <w:proofErr w:type="spellEnd"/>
      <w:r w:rsidRPr="0036392F">
        <w:rPr>
          <w:i/>
          <w:iCs/>
          <w:sz w:val="24"/>
          <w:szCs w:val="24"/>
          <w:lang w:val="en-US"/>
        </w:rPr>
        <w:t xml:space="preserve"> (5) </w:t>
      </w:r>
      <w:proofErr w:type="spellStart"/>
      <w:r w:rsidRPr="0036392F">
        <w:rPr>
          <w:i/>
          <w:iCs/>
          <w:sz w:val="24"/>
          <w:szCs w:val="24"/>
          <w:lang w:val="en-US"/>
        </w:rPr>
        <w:t>naima</w:t>
      </w:r>
      <w:proofErr w:type="spellEnd"/>
      <w:r w:rsidRPr="0036392F">
        <w:rPr>
          <w:i/>
          <w:iCs/>
          <w:sz w:val="24"/>
          <w:szCs w:val="24"/>
        </w:rPr>
        <w:t>γ</w:t>
      </w:r>
      <w:r w:rsidRPr="0036392F">
        <w:rPr>
          <w:i/>
          <w:iCs/>
          <w:sz w:val="24"/>
          <w:szCs w:val="24"/>
          <w:lang w:val="en-US"/>
        </w:rPr>
        <w:t xml:space="preserve">ad </w:t>
      </w:r>
      <w:proofErr w:type="spellStart"/>
      <w:r w:rsidRPr="0036392F">
        <w:rPr>
          <w:i/>
          <w:iCs/>
          <w:sz w:val="24"/>
          <w:szCs w:val="24"/>
          <w:lang w:val="en-US"/>
        </w:rPr>
        <w:t>qoni</w:t>
      </w:r>
      <w:proofErr w:type="spellEnd"/>
      <w:r w:rsidRPr="0036392F">
        <w:rPr>
          <w:i/>
          <w:iCs/>
          <w:sz w:val="24"/>
          <w:szCs w:val="24"/>
          <w:lang w:val="en-US"/>
        </w:rPr>
        <w:t xml:space="preserve"> </w:t>
      </w:r>
      <w:proofErr w:type="spellStart"/>
      <w:r w:rsidRPr="0036392F">
        <w:rPr>
          <w:i/>
          <w:iCs/>
          <w:sz w:val="24"/>
          <w:szCs w:val="24"/>
          <w:lang w:val="en-US"/>
        </w:rPr>
        <w:t>bui</w:t>
      </w:r>
      <w:proofErr w:type="spellEnd"/>
      <w:r w:rsidRPr="0036392F">
        <w:rPr>
          <w:i/>
          <w:iCs/>
          <w:sz w:val="24"/>
          <w:szCs w:val="24"/>
          <w:lang w:val="en-US"/>
        </w:rPr>
        <w:t xml:space="preserve"> : sin-e </w:t>
      </w:r>
      <w:proofErr w:type="spellStart"/>
      <w:r w:rsidRPr="0036392F">
        <w:rPr>
          <w:i/>
          <w:iCs/>
          <w:sz w:val="24"/>
          <w:szCs w:val="24"/>
          <w:lang w:val="en-US"/>
        </w:rPr>
        <w:t>jil</w:t>
      </w:r>
      <w:proofErr w:type="spellEnd"/>
      <w:r w:rsidRPr="0036392F">
        <w:rPr>
          <w:i/>
          <w:iCs/>
          <w:sz w:val="24"/>
          <w:szCs w:val="24"/>
          <w:lang w:val="en-US"/>
        </w:rPr>
        <w:t xml:space="preserve"> </w:t>
      </w:r>
      <w:proofErr w:type="spellStart"/>
      <w:r w:rsidRPr="0036392F">
        <w:rPr>
          <w:i/>
          <w:iCs/>
          <w:sz w:val="24"/>
          <w:szCs w:val="24"/>
          <w:lang w:val="en-US"/>
        </w:rPr>
        <w:t>orobasu</w:t>
      </w:r>
      <w:proofErr w:type="spellEnd"/>
      <w:r w:rsidRPr="0036392F">
        <w:rPr>
          <w:i/>
          <w:iCs/>
          <w:sz w:val="24"/>
          <w:szCs w:val="24"/>
          <w:lang w:val="en-US"/>
        </w:rPr>
        <w:t xml:space="preserve"> . </w:t>
      </w:r>
      <w:proofErr w:type="spellStart"/>
      <w:r w:rsidRPr="0036392F">
        <w:rPr>
          <w:i/>
          <w:iCs/>
          <w:sz w:val="24"/>
          <w:szCs w:val="24"/>
          <w:lang w:val="en-US"/>
        </w:rPr>
        <w:t>bo</w:t>
      </w:r>
      <w:proofErr w:type="spellEnd"/>
      <w:r w:rsidRPr="0036392F">
        <w:rPr>
          <w:i/>
          <w:iCs/>
          <w:sz w:val="24"/>
          <w:szCs w:val="24"/>
        </w:rPr>
        <w:t>γ</w:t>
      </w:r>
      <w:r w:rsidRPr="0036392F">
        <w:rPr>
          <w:i/>
          <w:iCs/>
          <w:sz w:val="24"/>
          <w:szCs w:val="24"/>
          <w:lang w:val="en-US"/>
        </w:rPr>
        <w:t xml:space="preserve">da </w:t>
      </w:r>
      <w:proofErr w:type="spellStart"/>
      <w:r w:rsidRPr="0036392F">
        <w:rPr>
          <w:i/>
          <w:iCs/>
          <w:sz w:val="24"/>
          <w:szCs w:val="24"/>
          <w:lang w:val="en-US"/>
        </w:rPr>
        <w:t>qa</w:t>
      </w:r>
      <w:proofErr w:type="spellEnd"/>
      <w:r w:rsidRPr="0036392F">
        <w:rPr>
          <w:i/>
          <w:iCs/>
          <w:sz w:val="24"/>
          <w:szCs w:val="24"/>
        </w:rPr>
        <w:t>γ</w:t>
      </w:r>
      <w:r w:rsidRPr="0036392F">
        <w:rPr>
          <w:i/>
          <w:iCs/>
          <w:sz w:val="24"/>
          <w:szCs w:val="24"/>
          <w:lang w:val="en-US"/>
        </w:rPr>
        <w:t xml:space="preserve">an-du </w:t>
      </w:r>
      <w:proofErr w:type="spellStart"/>
      <w:r w:rsidRPr="0036392F">
        <w:rPr>
          <w:i/>
          <w:iCs/>
          <w:sz w:val="24"/>
          <w:szCs w:val="24"/>
          <w:lang w:val="en-US"/>
        </w:rPr>
        <w:t>dörbeged</w:t>
      </w:r>
      <w:proofErr w:type="spellEnd"/>
      <w:r w:rsidRPr="0036392F">
        <w:rPr>
          <w:i/>
          <w:iCs/>
          <w:sz w:val="24"/>
          <w:szCs w:val="24"/>
          <w:lang w:val="en-US"/>
        </w:rPr>
        <w:t xml:space="preserve"> </w:t>
      </w:r>
      <w:proofErr w:type="spellStart"/>
      <w:r w:rsidRPr="0036392F">
        <w:rPr>
          <w:i/>
          <w:iCs/>
          <w:sz w:val="24"/>
          <w:szCs w:val="24"/>
          <w:lang w:val="en-US"/>
        </w:rPr>
        <w:t>morin</w:t>
      </w:r>
      <w:proofErr w:type="spellEnd"/>
      <w:r w:rsidRPr="0036392F">
        <w:rPr>
          <w:i/>
          <w:iCs/>
          <w:sz w:val="24"/>
          <w:szCs w:val="24"/>
          <w:lang w:val="en-US"/>
        </w:rPr>
        <w:t xml:space="preserve"> . ulus-un (6) </w:t>
      </w:r>
      <w:proofErr w:type="spellStart"/>
      <w:r w:rsidRPr="0036392F">
        <w:rPr>
          <w:i/>
          <w:iCs/>
          <w:sz w:val="24"/>
          <w:szCs w:val="24"/>
          <w:lang w:val="en-US"/>
        </w:rPr>
        <w:t>ejen</w:t>
      </w:r>
      <w:proofErr w:type="spellEnd"/>
      <w:r w:rsidRPr="0036392F">
        <w:rPr>
          <w:i/>
          <w:iCs/>
          <w:sz w:val="24"/>
          <w:szCs w:val="24"/>
          <w:lang w:val="en-US"/>
        </w:rPr>
        <w:t xml:space="preserve"> </w:t>
      </w:r>
      <w:proofErr w:type="spellStart"/>
      <w:r w:rsidRPr="0036392F">
        <w:rPr>
          <w:i/>
          <w:iCs/>
          <w:sz w:val="24"/>
          <w:szCs w:val="24"/>
          <w:lang w:val="en-US"/>
        </w:rPr>
        <w:t>qatun-dur</w:t>
      </w:r>
      <w:proofErr w:type="spellEnd"/>
      <w:r w:rsidRPr="0036392F">
        <w:rPr>
          <w:i/>
          <w:iCs/>
          <w:sz w:val="24"/>
          <w:szCs w:val="24"/>
          <w:lang w:val="en-US"/>
        </w:rPr>
        <w:t xml:space="preserve"> . </w:t>
      </w:r>
      <w:proofErr w:type="spellStart"/>
      <w:r w:rsidRPr="0036392F">
        <w:rPr>
          <w:i/>
          <w:iCs/>
          <w:sz w:val="24"/>
          <w:szCs w:val="24"/>
          <w:lang w:val="en-US"/>
        </w:rPr>
        <w:t>qosiya</w:t>
      </w:r>
      <w:proofErr w:type="spellEnd"/>
      <w:r w:rsidRPr="0036392F">
        <w:rPr>
          <w:i/>
          <w:iCs/>
          <w:sz w:val="24"/>
          <w:szCs w:val="24"/>
        </w:rPr>
        <w:t>γ</w:t>
      </w:r>
      <w:r w:rsidRPr="0036392F">
        <w:rPr>
          <w:i/>
          <w:iCs/>
          <w:sz w:val="24"/>
          <w:szCs w:val="24"/>
          <w:lang w:val="en-US"/>
        </w:rPr>
        <w:t xml:space="preserve">ad </w:t>
      </w:r>
      <w:proofErr w:type="spellStart"/>
      <w:r w:rsidRPr="0036392F">
        <w:rPr>
          <w:i/>
          <w:iCs/>
          <w:sz w:val="24"/>
          <w:szCs w:val="24"/>
          <w:lang w:val="en-US"/>
        </w:rPr>
        <w:t>morin</w:t>
      </w:r>
      <w:proofErr w:type="spellEnd"/>
      <w:r w:rsidRPr="0036392F">
        <w:rPr>
          <w:i/>
          <w:iCs/>
          <w:sz w:val="24"/>
          <w:szCs w:val="24"/>
          <w:lang w:val="en-US"/>
        </w:rPr>
        <w:t xml:space="preserve"> . </w:t>
      </w:r>
      <w:proofErr w:type="spellStart"/>
      <w:r w:rsidRPr="0036392F">
        <w:rPr>
          <w:i/>
          <w:iCs/>
          <w:sz w:val="24"/>
          <w:szCs w:val="24"/>
          <w:lang w:val="en-US"/>
        </w:rPr>
        <w:t>sigüsü</w:t>
      </w:r>
      <w:proofErr w:type="spellEnd"/>
      <w:r w:rsidRPr="0036392F">
        <w:rPr>
          <w:i/>
          <w:iCs/>
          <w:sz w:val="24"/>
          <w:szCs w:val="24"/>
          <w:lang w:val="en-US"/>
        </w:rPr>
        <w:t xml:space="preserve"> </w:t>
      </w:r>
      <w:proofErr w:type="spellStart"/>
      <w:r w:rsidRPr="0036392F">
        <w:rPr>
          <w:i/>
          <w:iCs/>
          <w:sz w:val="24"/>
          <w:szCs w:val="24"/>
          <w:lang w:val="en-US"/>
        </w:rPr>
        <w:t>nijeged</w:t>
      </w:r>
      <w:proofErr w:type="spellEnd"/>
      <w:r w:rsidRPr="0036392F">
        <w:rPr>
          <w:i/>
          <w:iCs/>
          <w:sz w:val="24"/>
          <w:szCs w:val="24"/>
          <w:lang w:val="en-US"/>
        </w:rPr>
        <w:t xml:space="preserve"> </w:t>
      </w:r>
      <w:proofErr w:type="spellStart"/>
      <w:r w:rsidRPr="0036392F">
        <w:rPr>
          <w:i/>
          <w:iCs/>
          <w:sz w:val="24"/>
          <w:szCs w:val="24"/>
          <w:lang w:val="en-US"/>
        </w:rPr>
        <w:t>üker</w:t>
      </w:r>
      <w:proofErr w:type="spellEnd"/>
      <w:r w:rsidRPr="0036392F">
        <w:rPr>
          <w:i/>
          <w:iCs/>
          <w:sz w:val="24"/>
          <w:szCs w:val="24"/>
          <w:lang w:val="en-US"/>
        </w:rPr>
        <w:t xml:space="preserve"> </w:t>
      </w:r>
      <w:proofErr w:type="spellStart"/>
      <w:r w:rsidRPr="0036392F">
        <w:rPr>
          <w:i/>
          <w:iCs/>
          <w:sz w:val="24"/>
          <w:szCs w:val="24"/>
          <w:lang w:val="en-US"/>
        </w:rPr>
        <w:t>naima</w:t>
      </w:r>
      <w:proofErr w:type="spellEnd"/>
      <w:r w:rsidRPr="0036392F">
        <w:rPr>
          <w:i/>
          <w:iCs/>
          <w:sz w:val="24"/>
          <w:szCs w:val="24"/>
        </w:rPr>
        <w:t>γ</w:t>
      </w:r>
      <w:proofErr w:type="spellStart"/>
      <w:r w:rsidRPr="0036392F">
        <w:rPr>
          <w:i/>
          <w:iCs/>
          <w:sz w:val="24"/>
          <w:szCs w:val="24"/>
          <w:lang w:val="en-US"/>
        </w:rPr>
        <w:t>ad</w:t>
      </w:r>
      <w:proofErr w:type="spellEnd"/>
      <w:r w:rsidRPr="0036392F">
        <w:rPr>
          <w:i/>
          <w:iCs/>
          <w:sz w:val="24"/>
          <w:szCs w:val="24"/>
          <w:lang w:val="en-US"/>
        </w:rPr>
        <w:t xml:space="preserve"> </w:t>
      </w:r>
      <w:proofErr w:type="spellStart"/>
      <w:r w:rsidRPr="0036392F">
        <w:rPr>
          <w:i/>
          <w:iCs/>
          <w:sz w:val="24"/>
          <w:szCs w:val="24"/>
          <w:lang w:val="en-US"/>
        </w:rPr>
        <w:t>qoni</w:t>
      </w:r>
      <w:proofErr w:type="spellEnd"/>
      <w:r w:rsidRPr="0036392F">
        <w:rPr>
          <w:i/>
          <w:iCs/>
          <w:sz w:val="24"/>
          <w:szCs w:val="24"/>
          <w:lang w:val="en-US"/>
        </w:rPr>
        <w:t xml:space="preserve"> : (7) </w:t>
      </w:r>
      <w:proofErr w:type="spellStart"/>
      <w:r w:rsidRPr="0036392F">
        <w:rPr>
          <w:i/>
          <w:iCs/>
          <w:sz w:val="24"/>
          <w:szCs w:val="24"/>
          <w:lang w:val="en-US"/>
        </w:rPr>
        <w:t>degedü</w:t>
      </w:r>
      <w:proofErr w:type="spellEnd"/>
      <w:r w:rsidRPr="0036392F">
        <w:rPr>
          <w:i/>
          <w:iCs/>
          <w:sz w:val="24"/>
          <w:szCs w:val="24"/>
          <w:lang w:val="en-US"/>
        </w:rPr>
        <w:t xml:space="preserve"> </w:t>
      </w:r>
      <w:proofErr w:type="spellStart"/>
      <w:r w:rsidRPr="0036392F">
        <w:rPr>
          <w:i/>
          <w:iCs/>
          <w:sz w:val="24"/>
          <w:szCs w:val="24"/>
          <w:lang w:val="en-US"/>
        </w:rPr>
        <w:t>erdem-tü</w:t>
      </w:r>
      <w:proofErr w:type="spellEnd"/>
      <w:r w:rsidRPr="0036392F">
        <w:rPr>
          <w:i/>
          <w:iCs/>
          <w:sz w:val="24"/>
          <w:szCs w:val="24"/>
          <w:lang w:val="en-US"/>
        </w:rPr>
        <w:t xml:space="preserve"> </w:t>
      </w:r>
      <w:proofErr w:type="spellStart"/>
      <w:r w:rsidRPr="0036392F">
        <w:rPr>
          <w:i/>
          <w:iCs/>
          <w:sz w:val="24"/>
          <w:szCs w:val="24"/>
          <w:lang w:val="en-US"/>
        </w:rPr>
        <w:t>nögöge</w:t>
      </w:r>
      <w:proofErr w:type="spellEnd"/>
      <w:r w:rsidRPr="0036392F">
        <w:rPr>
          <w:i/>
          <w:iCs/>
          <w:sz w:val="24"/>
          <w:szCs w:val="24"/>
          <w:lang w:val="en-US"/>
        </w:rPr>
        <w:t xml:space="preserve"> on : </w:t>
      </w:r>
      <w:proofErr w:type="spellStart"/>
      <w:r w:rsidRPr="0036392F">
        <w:rPr>
          <w:i/>
          <w:iCs/>
          <w:sz w:val="24"/>
          <w:szCs w:val="24"/>
          <w:lang w:val="en-US"/>
        </w:rPr>
        <w:t>ebül-ün</w:t>
      </w:r>
      <w:proofErr w:type="spellEnd"/>
      <w:r w:rsidRPr="0036392F">
        <w:rPr>
          <w:i/>
          <w:iCs/>
          <w:sz w:val="24"/>
          <w:szCs w:val="24"/>
          <w:lang w:val="en-US"/>
        </w:rPr>
        <w:t xml:space="preserve"> </w:t>
      </w:r>
      <w:proofErr w:type="spellStart"/>
      <w:r w:rsidRPr="0036392F">
        <w:rPr>
          <w:i/>
          <w:iCs/>
          <w:sz w:val="24"/>
          <w:szCs w:val="24"/>
          <w:lang w:val="en-US"/>
        </w:rPr>
        <w:t>ekin</w:t>
      </w:r>
      <w:proofErr w:type="spellEnd"/>
      <w:r w:rsidRPr="0036392F">
        <w:rPr>
          <w:i/>
          <w:iCs/>
          <w:sz w:val="24"/>
          <w:szCs w:val="24"/>
          <w:lang w:val="en-US"/>
        </w:rPr>
        <w:t xml:space="preserve"> </w:t>
      </w:r>
      <w:proofErr w:type="spellStart"/>
      <w:r w:rsidRPr="0036392F">
        <w:rPr>
          <w:i/>
          <w:iCs/>
          <w:sz w:val="24"/>
          <w:szCs w:val="24"/>
          <w:lang w:val="en-US"/>
        </w:rPr>
        <w:t>sara</w:t>
      </w:r>
      <w:proofErr w:type="spellEnd"/>
      <w:r w:rsidRPr="0036392F">
        <w:rPr>
          <w:i/>
          <w:iCs/>
          <w:sz w:val="24"/>
          <w:szCs w:val="24"/>
          <w:lang w:val="en-US"/>
        </w:rPr>
        <w:t xml:space="preserve">-yin </w:t>
      </w:r>
      <w:r w:rsidRPr="0036392F">
        <w:rPr>
          <w:i/>
          <w:iCs/>
          <w:sz w:val="24"/>
          <w:szCs w:val="24"/>
        </w:rPr>
        <w:t>γ</w:t>
      </w:r>
      <w:proofErr w:type="spellStart"/>
      <w:r w:rsidRPr="0036392F">
        <w:rPr>
          <w:i/>
          <w:iCs/>
          <w:sz w:val="24"/>
          <w:szCs w:val="24"/>
          <w:lang w:val="en-US"/>
        </w:rPr>
        <w:t>učin</w:t>
      </w:r>
      <w:proofErr w:type="spellEnd"/>
      <w:r w:rsidRPr="0036392F">
        <w:rPr>
          <w:i/>
          <w:iCs/>
          <w:sz w:val="24"/>
          <w:szCs w:val="24"/>
          <w:lang w:val="en-US"/>
        </w:rPr>
        <w:t>-a :</w:t>
      </w:r>
      <w:r w:rsidRPr="0036392F">
        <w:rPr>
          <w:sz w:val="24"/>
          <w:szCs w:val="24"/>
          <w:lang w:val="en-US"/>
        </w:rPr>
        <w:t xml:space="preserve"> Amendments to the text made by a different hand at an unknown date. For the meaning of the term </w:t>
      </w:r>
      <w:proofErr w:type="spellStart"/>
      <w:r w:rsidRPr="0036392F">
        <w:rPr>
          <w:i/>
          <w:iCs/>
          <w:sz w:val="24"/>
          <w:szCs w:val="24"/>
          <w:lang w:val="en-US"/>
        </w:rPr>
        <w:t>ayimaγ</w:t>
      </w:r>
      <w:proofErr w:type="spellEnd"/>
      <w:r w:rsidRPr="0036392F">
        <w:rPr>
          <w:sz w:val="24"/>
          <w:szCs w:val="24"/>
          <w:lang w:val="en-US"/>
        </w:rPr>
        <w:t xml:space="preserve"> (polity) Atwood </w:t>
      </w:r>
      <w:r>
        <w:rPr>
          <w:sz w:val="24"/>
          <w:szCs w:val="24"/>
          <w:lang w:val="en-US"/>
        </w:rPr>
        <w:t>(</w:t>
      </w:r>
      <w:r w:rsidRPr="0036392F">
        <w:rPr>
          <w:sz w:val="24"/>
          <w:szCs w:val="24"/>
          <w:lang w:val="en-US"/>
        </w:rPr>
        <w:t>2004: 5</w:t>
      </w:r>
      <w:r>
        <w:rPr>
          <w:sz w:val="24"/>
          <w:szCs w:val="24"/>
          <w:lang w:val="en-US"/>
        </w:rPr>
        <w:t>)</w:t>
      </w:r>
      <w:r w:rsidRPr="0036392F">
        <w:rPr>
          <w:sz w:val="24"/>
          <w:szCs w:val="24"/>
          <w:lang w:val="en-US"/>
        </w:rPr>
        <w:t>.</w:t>
      </w:r>
    </w:p>
  </w:endnote>
  <w:endnote w:id="16">
    <w:p w:rsidR="00106337" w:rsidRPr="0036392F" w:rsidRDefault="00106337">
      <w:pPr>
        <w:pStyle w:val="Endnotentext"/>
        <w:rPr>
          <w:sz w:val="24"/>
          <w:szCs w:val="24"/>
          <w:lang w:val="en-US"/>
        </w:rPr>
      </w:pPr>
      <w:r w:rsidRPr="0036392F">
        <w:rPr>
          <w:rStyle w:val="Endnotenzeichen"/>
          <w:sz w:val="24"/>
          <w:szCs w:val="24"/>
        </w:rPr>
        <w:endnoteRef/>
      </w:r>
      <w:r>
        <w:rPr>
          <w:sz w:val="24"/>
          <w:szCs w:val="24"/>
          <w:lang w:val="en-US"/>
        </w:rPr>
        <w:t xml:space="preserve"> Titles of </w:t>
      </w:r>
      <w:r w:rsidRPr="0036392F">
        <w:rPr>
          <w:sz w:val="24"/>
          <w:szCs w:val="24"/>
          <w:lang w:val="en-US"/>
        </w:rPr>
        <w:t>nobility.</w:t>
      </w:r>
    </w:p>
  </w:endnote>
  <w:endnote w:id="17">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The term did not yet have a religious connotation, in the sense of an </w:t>
      </w:r>
      <w:proofErr w:type="spellStart"/>
      <w:r w:rsidRPr="0036392F">
        <w:rPr>
          <w:i/>
          <w:sz w:val="24"/>
          <w:szCs w:val="24"/>
          <w:lang w:val="en-US"/>
        </w:rPr>
        <w:t>öglige</w:t>
      </w:r>
      <w:proofErr w:type="spellEnd"/>
      <w:r w:rsidRPr="0036392F">
        <w:rPr>
          <w:i/>
          <w:sz w:val="24"/>
          <w:szCs w:val="24"/>
          <w:lang w:val="en-US"/>
        </w:rPr>
        <w:t xml:space="preserve">-yin </w:t>
      </w:r>
      <w:proofErr w:type="spellStart"/>
      <w:r w:rsidRPr="0036392F">
        <w:rPr>
          <w:i/>
          <w:sz w:val="24"/>
          <w:szCs w:val="24"/>
          <w:lang w:val="en-US"/>
        </w:rPr>
        <w:t>ejen</w:t>
      </w:r>
      <w:proofErr w:type="spellEnd"/>
      <w:r w:rsidRPr="0036392F">
        <w:rPr>
          <w:sz w:val="24"/>
          <w:szCs w:val="24"/>
          <w:lang w:val="en-US"/>
        </w:rPr>
        <w:t xml:space="preserve">, a donor, who gives alms to a monk. For the use of the term </w:t>
      </w:r>
      <w:proofErr w:type="spellStart"/>
      <w:r w:rsidRPr="0036392F">
        <w:rPr>
          <w:i/>
          <w:sz w:val="24"/>
          <w:szCs w:val="24"/>
          <w:lang w:val="en-US"/>
        </w:rPr>
        <w:t>öglige</w:t>
      </w:r>
      <w:proofErr w:type="spellEnd"/>
      <w:r w:rsidRPr="0036392F">
        <w:rPr>
          <w:i/>
          <w:sz w:val="24"/>
          <w:szCs w:val="24"/>
          <w:lang w:val="en-US"/>
        </w:rPr>
        <w:t xml:space="preserve"> </w:t>
      </w:r>
      <w:proofErr w:type="spellStart"/>
      <w:r w:rsidRPr="0036392F">
        <w:rPr>
          <w:i/>
          <w:sz w:val="24"/>
          <w:szCs w:val="24"/>
          <w:lang w:val="en-US"/>
        </w:rPr>
        <w:t>soyurqal</w:t>
      </w:r>
      <w:proofErr w:type="spellEnd"/>
      <w:r w:rsidRPr="0036392F">
        <w:rPr>
          <w:i/>
          <w:sz w:val="24"/>
          <w:szCs w:val="24"/>
          <w:lang w:val="en-US"/>
        </w:rPr>
        <w:t xml:space="preserve"> </w:t>
      </w:r>
      <w:r w:rsidRPr="0036392F">
        <w:rPr>
          <w:sz w:val="24"/>
          <w:szCs w:val="24"/>
          <w:lang w:val="en-US"/>
        </w:rPr>
        <w:t xml:space="preserve">in 1636, see </w:t>
      </w:r>
      <w:proofErr w:type="spellStart"/>
      <w:r w:rsidRPr="0036392F">
        <w:rPr>
          <w:sz w:val="24"/>
          <w:szCs w:val="24"/>
          <w:lang w:val="en-US"/>
        </w:rPr>
        <w:t>Heuschert-Laage</w:t>
      </w:r>
      <w:proofErr w:type="spellEnd"/>
      <w:r w:rsidRPr="0036392F">
        <w:rPr>
          <w:sz w:val="24"/>
          <w:szCs w:val="24"/>
          <w:lang w:val="en-US"/>
        </w:rPr>
        <w:t xml:space="preserve"> </w:t>
      </w:r>
      <w:r>
        <w:rPr>
          <w:sz w:val="24"/>
          <w:szCs w:val="24"/>
          <w:lang w:val="en-US"/>
        </w:rPr>
        <w:t>(</w:t>
      </w:r>
      <w:r w:rsidRPr="0036392F">
        <w:rPr>
          <w:sz w:val="24"/>
          <w:szCs w:val="24"/>
          <w:lang w:val="en-US"/>
        </w:rPr>
        <w:t>2011: 57</w:t>
      </w:r>
      <w:r>
        <w:rPr>
          <w:sz w:val="24"/>
          <w:szCs w:val="24"/>
          <w:lang w:val="en-US"/>
        </w:rPr>
        <w:t>)</w:t>
      </w:r>
      <w:r w:rsidRPr="0036392F">
        <w:rPr>
          <w:sz w:val="24"/>
          <w:szCs w:val="24"/>
          <w:lang w:val="en-US"/>
        </w:rPr>
        <w:t>.</w:t>
      </w:r>
    </w:p>
  </w:endnote>
  <w:endnote w:id="18">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The Mongol equivalent is </w:t>
      </w:r>
      <w:proofErr w:type="spellStart"/>
      <w:r w:rsidRPr="0036392F">
        <w:rPr>
          <w:i/>
          <w:iCs/>
          <w:sz w:val="24"/>
          <w:szCs w:val="24"/>
          <w:lang w:val="en-US"/>
        </w:rPr>
        <w:t>šangnaqu</w:t>
      </w:r>
      <w:proofErr w:type="spellEnd"/>
      <w:r w:rsidRPr="0036392F">
        <w:rPr>
          <w:sz w:val="24"/>
          <w:szCs w:val="24"/>
          <w:lang w:val="en-US"/>
        </w:rPr>
        <w:t xml:space="preserve">. For parallel use of these terms see </w:t>
      </w:r>
      <w:r w:rsidRPr="0036392F">
        <w:rPr>
          <w:i/>
          <w:sz w:val="24"/>
          <w:szCs w:val="24"/>
          <w:lang w:val="en-US"/>
        </w:rPr>
        <w:t xml:space="preserve">Qing </w:t>
      </w:r>
      <w:proofErr w:type="spellStart"/>
      <w:r w:rsidRPr="0036392F">
        <w:rPr>
          <w:i/>
          <w:sz w:val="24"/>
          <w:szCs w:val="24"/>
          <w:lang w:val="en-US"/>
        </w:rPr>
        <w:t>chao</w:t>
      </w:r>
      <w:proofErr w:type="spellEnd"/>
      <w:r w:rsidRPr="0036392F">
        <w:rPr>
          <w:i/>
          <w:sz w:val="24"/>
          <w:szCs w:val="24"/>
          <w:lang w:val="en-US"/>
        </w:rPr>
        <w:t xml:space="preserve"> </w:t>
      </w:r>
      <w:proofErr w:type="spellStart"/>
      <w:r w:rsidRPr="0036392F">
        <w:rPr>
          <w:i/>
          <w:sz w:val="24"/>
          <w:szCs w:val="24"/>
          <w:lang w:val="en-US"/>
        </w:rPr>
        <w:t>qianqi</w:t>
      </w:r>
      <w:proofErr w:type="spellEnd"/>
      <w:r w:rsidRPr="0036392F">
        <w:rPr>
          <w:i/>
          <w:sz w:val="24"/>
          <w:szCs w:val="24"/>
          <w:lang w:val="en-US"/>
        </w:rPr>
        <w:t xml:space="preserve"> </w:t>
      </w:r>
      <w:proofErr w:type="spellStart"/>
      <w:r w:rsidRPr="0036392F">
        <w:rPr>
          <w:i/>
          <w:sz w:val="24"/>
          <w:szCs w:val="24"/>
          <w:lang w:val="en-US"/>
        </w:rPr>
        <w:t>Lifanyuan</w:t>
      </w:r>
      <w:proofErr w:type="spellEnd"/>
      <w:r w:rsidRPr="0036392F">
        <w:rPr>
          <w:i/>
          <w:sz w:val="24"/>
          <w:szCs w:val="24"/>
          <w:lang w:val="en-US"/>
        </w:rPr>
        <w:t xml:space="preserve"> </w:t>
      </w:r>
      <w:r>
        <w:rPr>
          <w:iCs/>
          <w:sz w:val="24"/>
          <w:szCs w:val="24"/>
          <w:lang w:val="en-US"/>
        </w:rPr>
        <w:t>(2</w:t>
      </w:r>
      <w:r w:rsidRPr="0036392F">
        <w:rPr>
          <w:iCs/>
          <w:sz w:val="24"/>
          <w:szCs w:val="24"/>
          <w:lang w:val="en-US"/>
        </w:rPr>
        <w:t>010:</w:t>
      </w:r>
      <w:r w:rsidRPr="0036392F">
        <w:rPr>
          <w:i/>
          <w:sz w:val="24"/>
          <w:szCs w:val="24"/>
          <w:lang w:val="en-US"/>
        </w:rPr>
        <w:t xml:space="preserve"> </w:t>
      </w:r>
      <w:r w:rsidRPr="0036392F">
        <w:rPr>
          <w:iCs/>
          <w:sz w:val="24"/>
          <w:szCs w:val="24"/>
          <w:lang w:val="en-US"/>
        </w:rPr>
        <w:t>vol. 13,</w:t>
      </w:r>
      <w:r w:rsidRPr="0036392F">
        <w:rPr>
          <w:sz w:val="24"/>
          <w:szCs w:val="24"/>
          <w:lang w:val="en-US"/>
        </w:rPr>
        <w:t xml:space="preserve"> 1 &amp; 4</w:t>
      </w:r>
      <w:r>
        <w:rPr>
          <w:sz w:val="24"/>
          <w:szCs w:val="24"/>
          <w:lang w:val="en-US"/>
        </w:rPr>
        <w:t>)</w:t>
      </w:r>
      <w:r w:rsidRPr="0036392F">
        <w:rPr>
          <w:sz w:val="24"/>
          <w:szCs w:val="24"/>
          <w:lang w:val="en-US"/>
        </w:rPr>
        <w:t>.</w:t>
      </w:r>
      <w:r w:rsidR="00BE19E8">
        <w:rPr>
          <w:sz w:val="24"/>
          <w:szCs w:val="24"/>
          <w:lang w:val="en-US"/>
        </w:rPr>
        <w:t xml:space="preserve"> The Mongol</w:t>
      </w:r>
      <w:r>
        <w:rPr>
          <w:sz w:val="24"/>
          <w:szCs w:val="24"/>
          <w:lang w:val="en-US"/>
        </w:rPr>
        <w:t xml:space="preserve"> term </w:t>
      </w:r>
      <w:proofErr w:type="spellStart"/>
      <w:r w:rsidRPr="00EF260E">
        <w:rPr>
          <w:i/>
          <w:iCs/>
          <w:sz w:val="24"/>
          <w:szCs w:val="24"/>
          <w:lang w:val="en-US"/>
        </w:rPr>
        <w:t>öglige</w:t>
      </w:r>
      <w:proofErr w:type="spellEnd"/>
      <w:r>
        <w:rPr>
          <w:sz w:val="24"/>
          <w:szCs w:val="24"/>
          <w:lang w:val="en-US"/>
        </w:rPr>
        <w:t>, which had been employed in 1646 (see above) was no longer used.</w:t>
      </w:r>
    </w:p>
  </w:endnote>
  <w:endnote w:id="19">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An example for the use of </w:t>
      </w:r>
      <w:proofErr w:type="spellStart"/>
      <w:r w:rsidRPr="0036392F">
        <w:rPr>
          <w:i/>
          <w:sz w:val="24"/>
          <w:szCs w:val="24"/>
          <w:lang w:val="en-US"/>
        </w:rPr>
        <w:t>šangnaha</w:t>
      </w:r>
      <w:proofErr w:type="spellEnd"/>
      <w:r w:rsidRPr="0036392F">
        <w:rPr>
          <w:sz w:val="24"/>
          <w:szCs w:val="24"/>
          <w:lang w:val="en-US"/>
        </w:rPr>
        <w:t xml:space="preserve"> with regard to envoys (in Manchu </w:t>
      </w:r>
      <w:proofErr w:type="spellStart"/>
      <w:r w:rsidRPr="0036392F">
        <w:rPr>
          <w:i/>
          <w:iCs/>
          <w:sz w:val="24"/>
          <w:szCs w:val="24"/>
          <w:lang w:val="en-US"/>
        </w:rPr>
        <w:t>elcin</w:t>
      </w:r>
      <w:proofErr w:type="spellEnd"/>
      <w:r w:rsidRPr="0036392F">
        <w:rPr>
          <w:sz w:val="24"/>
          <w:szCs w:val="24"/>
          <w:lang w:val="en-US"/>
        </w:rPr>
        <w:t xml:space="preserve">) and </w:t>
      </w:r>
      <w:proofErr w:type="spellStart"/>
      <w:r w:rsidRPr="0036392F">
        <w:rPr>
          <w:i/>
          <w:sz w:val="24"/>
          <w:szCs w:val="24"/>
          <w:lang w:val="en-US"/>
        </w:rPr>
        <w:t>būhe</w:t>
      </w:r>
      <w:proofErr w:type="spellEnd"/>
      <w:r w:rsidRPr="0036392F">
        <w:rPr>
          <w:i/>
          <w:sz w:val="24"/>
          <w:szCs w:val="24"/>
          <w:lang w:val="en-US"/>
        </w:rPr>
        <w:t xml:space="preserve"> </w:t>
      </w:r>
      <w:r w:rsidRPr="0036392F">
        <w:rPr>
          <w:iCs/>
          <w:sz w:val="24"/>
          <w:szCs w:val="24"/>
          <w:lang w:val="en-US"/>
        </w:rPr>
        <w:t xml:space="preserve">with regard to members of the nobility </w:t>
      </w:r>
      <w:r w:rsidRPr="0036392F">
        <w:rPr>
          <w:sz w:val="24"/>
          <w:szCs w:val="24"/>
          <w:lang w:val="en-US"/>
        </w:rPr>
        <w:t xml:space="preserve">can be found in the </w:t>
      </w:r>
      <w:r w:rsidRPr="0036392F">
        <w:rPr>
          <w:i/>
          <w:sz w:val="24"/>
          <w:szCs w:val="24"/>
          <w:lang w:val="en-US"/>
        </w:rPr>
        <w:t xml:space="preserve">Jiu </w:t>
      </w:r>
      <w:proofErr w:type="spellStart"/>
      <w:r w:rsidRPr="0036392F">
        <w:rPr>
          <w:i/>
          <w:sz w:val="24"/>
          <w:szCs w:val="24"/>
          <w:lang w:val="en-US"/>
        </w:rPr>
        <w:t>Manzhou</w:t>
      </w:r>
      <w:proofErr w:type="spellEnd"/>
      <w:r w:rsidRPr="0036392F">
        <w:rPr>
          <w:i/>
          <w:sz w:val="24"/>
          <w:szCs w:val="24"/>
          <w:lang w:val="en-US"/>
        </w:rPr>
        <w:t xml:space="preserve"> Dang </w:t>
      </w:r>
      <w:r w:rsidRPr="004A081C">
        <w:rPr>
          <w:iCs/>
          <w:sz w:val="24"/>
          <w:szCs w:val="24"/>
          <w:lang w:val="en-US"/>
        </w:rPr>
        <w:t>(1969</w:t>
      </w:r>
      <w:r>
        <w:rPr>
          <w:iCs/>
          <w:sz w:val="24"/>
          <w:szCs w:val="24"/>
          <w:lang w:val="en-US"/>
        </w:rPr>
        <w:t>)</w:t>
      </w:r>
      <w:r w:rsidRPr="0036392F">
        <w:rPr>
          <w:iCs/>
          <w:sz w:val="24"/>
          <w:szCs w:val="24"/>
          <w:lang w:val="en-US"/>
        </w:rPr>
        <w:t>: fol</w:t>
      </w:r>
      <w:r w:rsidRPr="0036392F">
        <w:rPr>
          <w:sz w:val="24"/>
          <w:szCs w:val="24"/>
          <w:lang w:val="en-US"/>
        </w:rPr>
        <w:t xml:space="preserve">. 3373. </w:t>
      </w:r>
      <w:r w:rsidRPr="0036392F">
        <w:rPr>
          <w:i/>
          <w:sz w:val="24"/>
          <w:szCs w:val="24"/>
          <w:lang w:val="en-US"/>
        </w:rPr>
        <w:t xml:space="preserve">Jiu </w:t>
      </w:r>
      <w:proofErr w:type="spellStart"/>
      <w:r w:rsidRPr="0036392F">
        <w:rPr>
          <w:i/>
          <w:sz w:val="24"/>
          <w:szCs w:val="24"/>
          <w:lang w:val="en-US"/>
        </w:rPr>
        <w:t>Manzhou</w:t>
      </w:r>
      <w:proofErr w:type="spellEnd"/>
      <w:r w:rsidRPr="0036392F">
        <w:rPr>
          <w:i/>
          <w:sz w:val="24"/>
          <w:szCs w:val="24"/>
          <w:lang w:val="en-US"/>
        </w:rPr>
        <w:t xml:space="preserve"> Dang</w:t>
      </w:r>
      <w:r w:rsidRPr="0036392F">
        <w:rPr>
          <w:sz w:val="24"/>
          <w:szCs w:val="24"/>
          <w:lang w:val="en-US"/>
        </w:rPr>
        <w:t xml:space="preserve"> quoted after Gruber </w:t>
      </w:r>
      <w:r>
        <w:rPr>
          <w:sz w:val="24"/>
          <w:szCs w:val="24"/>
          <w:lang w:val="en-US"/>
        </w:rPr>
        <w:t>(</w:t>
      </w:r>
      <w:r w:rsidRPr="0036392F">
        <w:rPr>
          <w:sz w:val="24"/>
          <w:szCs w:val="24"/>
          <w:lang w:val="en-US"/>
        </w:rPr>
        <w:t>2006: 39</w:t>
      </w:r>
      <w:r>
        <w:rPr>
          <w:sz w:val="24"/>
          <w:szCs w:val="24"/>
          <w:lang w:val="en-US"/>
        </w:rPr>
        <w:t>)</w:t>
      </w:r>
      <w:r w:rsidRPr="0036392F">
        <w:rPr>
          <w:sz w:val="24"/>
          <w:szCs w:val="24"/>
          <w:lang w:val="en-US"/>
        </w:rPr>
        <w:t>.</w:t>
      </w:r>
    </w:p>
  </w:endnote>
  <w:endnote w:id="20">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w:t>
      </w:r>
      <w:proofErr w:type="spellStart"/>
      <w:r w:rsidRPr="0036392F">
        <w:rPr>
          <w:sz w:val="24"/>
          <w:szCs w:val="24"/>
          <w:lang w:val="en-US"/>
        </w:rPr>
        <w:t>Tenggis</w:t>
      </w:r>
      <w:proofErr w:type="spellEnd"/>
      <w:r w:rsidRPr="0036392F">
        <w:rPr>
          <w:sz w:val="24"/>
          <w:szCs w:val="24"/>
          <w:lang w:val="en-US"/>
        </w:rPr>
        <w:t xml:space="preserve"> in 1646 rejected Manchu </w:t>
      </w:r>
      <w:proofErr w:type="spellStart"/>
      <w:r w:rsidRPr="0036392F">
        <w:rPr>
          <w:sz w:val="24"/>
          <w:szCs w:val="24"/>
          <w:lang w:val="en-US"/>
        </w:rPr>
        <w:t>overlordship</w:t>
      </w:r>
      <w:proofErr w:type="spellEnd"/>
      <w:r w:rsidRPr="0036392F">
        <w:rPr>
          <w:sz w:val="24"/>
          <w:szCs w:val="24"/>
          <w:lang w:val="en-US"/>
        </w:rPr>
        <w:t xml:space="preserve"> and, in his armed conflict with the Qing, accepted military support from the Northern </w:t>
      </w:r>
      <w:proofErr w:type="spellStart"/>
      <w:r w:rsidRPr="0036392F">
        <w:rPr>
          <w:sz w:val="24"/>
          <w:szCs w:val="24"/>
          <w:lang w:val="en-US"/>
        </w:rPr>
        <w:t>Qalqa</w:t>
      </w:r>
      <w:proofErr w:type="spellEnd"/>
      <w:r w:rsidRPr="0036392F">
        <w:rPr>
          <w:sz w:val="24"/>
          <w:szCs w:val="24"/>
          <w:lang w:val="en-US"/>
        </w:rPr>
        <w:t xml:space="preserve"> (</w:t>
      </w:r>
      <w:proofErr w:type="spellStart"/>
      <w:r w:rsidRPr="0036392F">
        <w:rPr>
          <w:sz w:val="24"/>
          <w:szCs w:val="24"/>
          <w:lang w:val="en-US"/>
        </w:rPr>
        <w:t>Veit</w:t>
      </w:r>
      <w:proofErr w:type="spellEnd"/>
      <w:r w:rsidRPr="0036392F">
        <w:rPr>
          <w:sz w:val="24"/>
          <w:szCs w:val="24"/>
          <w:lang w:val="en-US"/>
        </w:rPr>
        <w:t xml:space="preserve"> 1986: 406; Fang 1943/44a: 215; </w:t>
      </w:r>
      <w:proofErr w:type="spellStart"/>
      <w:r w:rsidRPr="0036392F">
        <w:rPr>
          <w:i/>
          <w:sz w:val="24"/>
          <w:szCs w:val="24"/>
          <w:lang w:val="en-US"/>
        </w:rPr>
        <w:t>Čing</w:t>
      </w:r>
      <w:proofErr w:type="spellEnd"/>
      <w:r w:rsidRPr="0036392F">
        <w:rPr>
          <w:i/>
          <w:sz w:val="24"/>
          <w:szCs w:val="24"/>
          <w:lang w:val="en-US"/>
        </w:rPr>
        <w:t xml:space="preserve"> ulus-un </w:t>
      </w:r>
      <w:r w:rsidRPr="0036392F">
        <w:rPr>
          <w:iCs/>
          <w:sz w:val="24"/>
          <w:szCs w:val="24"/>
          <w:lang w:val="en-US"/>
        </w:rPr>
        <w:t>1984: 108-110)</w:t>
      </w:r>
      <w:r w:rsidRPr="0036392F">
        <w:rPr>
          <w:sz w:val="24"/>
          <w:szCs w:val="24"/>
          <w:lang w:val="en-US"/>
        </w:rPr>
        <w:t>.</w:t>
      </w:r>
    </w:p>
  </w:endnote>
  <w:endnote w:id="21">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For the </w:t>
      </w:r>
      <w:proofErr w:type="spellStart"/>
      <w:r w:rsidRPr="0036392F">
        <w:rPr>
          <w:sz w:val="24"/>
          <w:szCs w:val="24"/>
          <w:lang w:val="en-US"/>
        </w:rPr>
        <w:t>Maussian</w:t>
      </w:r>
      <w:proofErr w:type="spellEnd"/>
      <w:r w:rsidRPr="0036392F">
        <w:rPr>
          <w:sz w:val="24"/>
          <w:szCs w:val="24"/>
          <w:lang w:val="en-US"/>
        </w:rPr>
        <w:t xml:space="preserve"> distinction between commodity relationships and gift relationships, in which the object was directly linked to the person of the giver see Carrier 1991: 126-128.</w:t>
      </w:r>
    </w:p>
  </w:endnote>
  <w:endnote w:id="22">
    <w:p w:rsidR="00106337" w:rsidRPr="00B05EAD"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Manchu language memorial of the </w:t>
      </w:r>
      <w:proofErr w:type="spellStart"/>
      <w:r w:rsidRPr="0036392F">
        <w:rPr>
          <w:sz w:val="24"/>
          <w:szCs w:val="24"/>
          <w:lang w:val="en-US"/>
        </w:rPr>
        <w:t>Lifanyuan</w:t>
      </w:r>
      <w:proofErr w:type="spellEnd"/>
      <w:r w:rsidRPr="0036392F">
        <w:rPr>
          <w:sz w:val="24"/>
          <w:szCs w:val="24"/>
          <w:lang w:val="en-US"/>
        </w:rPr>
        <w:t xml:space="preserve"> of Shunzhi 16/intercalary3/24 (May 14</w:t>
      </w:r>
      <w:r w:rsidRPr="0036392F">
        <w:rPr>
          <w:sz w:val="24"/>
          <w:szCs w:val="24"/>
          <w:vertAlign w:val="superscript"/>
          <w:lang w:val="en-US"/>
        </w:rPr>
        <w:t>th</w:t>
      </w:r>
      <w:r w:rsidRPr="0036392F">
        <w:rPr>
          <w:sz w:val="24"/>
          <w:szCs w:val="24"/>
          <w:lang w:val="en-US"/>
        </w:rPr>
        <w:t xml:space="preserve">, 1659) in </w:t>
      </w:r>
      <w:r w:rsidRPr="0036392F">
        <w:rPr>
          <w:i/>
          <w:sz w:val="24"/>
          <w:szCs w:val="24"/>
          <w:lang w:val="en-US"/>
        </w:rPr>
        <w:t xml:space="preserve">Qing </w:t>
      </w:r>
      <w:proofErr w:type="spellStart"/>
      <w:r w:rsidRPr="0036392F">
        <w:rPr>
          <w:i/>
          <w:sz w:val="24"/>
          <w:szCs w:val="24"/>
          <w:lang w:val="en-US"/>
        </w:rPr>
        <w:t>chao</w:t>
      </w:r>
      <w:proofErr w:type="spellEnd"/>
      <w:r w:rsidRPr="0036392F">
        <w:rPr>
          <w:i/>
          <w:sz w:val="24"/>
          <w:szCs w:val="24"/>
          <w:lang w:val="en-US"/>
        </w:rPr>
        <w:t xml:space="preserve"> </w:t>
      </w:r>
      <w:proofErr w:type="spellStart"/>
      <w:r w:rsidRPr="0036392F">
        <w:rPr>
          <w:i/>
          <w:sz w:val="24"/>
          <w:szCs w:val="24"/>
          <w:lang w:val="en-US"/>
        </w:rPr>
        <w:t>qianqi</w:t>
      </w:r>
      <w:proofErr w:type="spellEnd"/>
      <w:r w:rsidRPr="0036392F">
        <w:rPr>
          <w:i/>
          <w:sz w:val="24"/>
          <w:szCs w:val="24"/>
          <w:lang w:val="en-US"/>
        </w:rPr>
        <w:t xml:space="preserve"> </w:t>
      </w:r>
      <w:proofErr w:type="spellStart"/>
      <w:r w:rsidRPr="0036392F">
        <w:rPr>
          <w:i/>
          <w:sz w:val="24"/>
          <w:szCs w:val="24"/>
          <w:lang w:val="en-US"/>
        </w:rPr>
        <w:t>Lifanyuan</w:t>
      </w:r>
      <w:proofErr w:type="spellEnd"/>
      <w:r w:rsidRPr="0036392F">
        <w:rPr>
          <w:iCs/>
          <w:sz w:val="24"/>
          <w:szCs w:val="24"/>
          <w:lang w:val="en-US"/>
        </w:rPr>
        <w:t xml:space="preserve"> </w:t>
      </w:r>
      <w:r>
        <w:rPr>
          <w:iCs/>
          <w:sz w:val="24"/>
          <w:szCs w:val="24"/>
          <w:lang w:val="en-US"/>
        </w:rPr>
        <w:t>(</w:t>
      </w:r>
      <w:r w:rsidRPr="0036392F">
        <w:rPr>
          <w:iCs/>
          <w:sz w:val="24"/>
          <w:szCs w:val="24"/>
          <w:lang w:val="en-US"/>
        </w:rPr>
        <w:t>2010: vol. 1,</w:t>
      </w:r>
      <w:r w:rsidRPr="0036392F">
        <w:rPr>
          <w:sz w:val="24"/>
          <w:szCs w:val="24"/>
          <w:lang w:val="en-US"/>
        </w:rPr>
        <w:t xml:space="preserve"> 217</w:t>
      </w:r>
      <w:r>
        <w:rPr>
          <w:sz w:val="24"/>
          <w:szCs w:val="24"/>
          <w:lang w:val="en-US"/>
        </w:rPr>
        <w:t>)</w:t>
      </w:r>
      <w:r w:rsidRPr="0036392F">
        <w:rPr>
          <w:sz w:val="24"/>
          <w:szCs w:val="24"/>
          <w:lang w:val="en-US"/>
        </w:rPr>
        <w:t xml:space="preserve">: (top 8) </w:t>
      </w:r>
      <w:proofErr w:type="spellStart"/>
      <w:r w:rsidRPr="0036392F">
        <w:rPr>
          <w:i/>
          <w:sz w:val="24"/>
          <w:szCs w:val="24"/>
          <w:lang w:val="en-US"/>
        </w:rPr>
        <w:t>horcin</w:t>
      </w:r>
      <w:proofErr w:type="spellEnd"/>
      <w:r w:rsidRPr="0036392F">
        <w:rPr>
          <w:i/>
          <w:sz w:val="24"/>
          <w:szCs w:val="24"/>
          <w:lang w:val="en-US"/>
        </w:rPr>
        <w:t xml:space="preserve"> </w:t>
      </w:r>
      <w:proofErr w:type="spellStart"/>
      <w:r w:rsidRPr="0036392F">
        <w:rPr>
          <w:i/>
          <w:sz w:val="24"/>
          <w:szCs w:val="24"/>
          <w:lang w:val="en-US"/>
        </w:rPr>
        <w:t>i</w:t>
      </w:r>
      <w:proofErr w:type="spellEnd"/>
      <w:r w:rsidRPr="0036392F">
        <w:rPr>
          <w:i/>
          <w:sz w:val="24"/>
          <w:szCs w:val="24"/>
          <w:lang w:val="en-US"/>
        </w:rPr>
        <w:t xml:space="preserve"> </w:t>
      </w:r>
      <w:proofErr w:type="spellStart"/>
      <w:r w:rsidRPr="0036392F">
        <w:rPr>
          <w:i/>
          <w:sz w:val="24"/>
          <w:szCs w:val="24"/>
          <w:lang w:val="en-US"/>
        </w:rPr>
        <w:t>joriktu</w:t>
      </w:r>
      <w:proofErr w:type="spellEnd"/>
      <w:r w:rsidRPr="0036392F">
        <w:rPr>
          <w:i/>
          <w:sz w:val="24"/>
          <w:szCs w:val="24"/>
          <w:lang w:val="en-US"/>
        </w:rPr>
        <w:t xml:space="preserve"> </w:t>
      </w:r>
      <w:proofErr w:type="spellStart"/>
      <w:r w:rsidRPr="0036392F">
        <w:rPr>
          <w:i/>
          <w:sz w:val="24"/>
          <w:szCs w:val="24"/>
          <w:lang w:val="en-US"/>
        </w:rPr>
        <w:t>cin</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sz w:val="24"/>
          <w:szCs w:val="24"/>
          <w:lang w:val="en-US"/>
        </w:rPr>
        <w:t xml:space="preserve"> . (9) </w:t>
      </w:r>
      <w:proofErr w:type="spellStart"/>
      <w:r w:rsidRPr="0036392F">
        <w:rPr>
          <w:i/>
          <w:sz w:val="24"/>
          <w:szCs w:val="24"/>
          <w:lang w:val="en-US"/>
        </w:rPr>
        <w:t>darhan</w:t>
      </w:r>
      <w:proofErr w:type="spellEnd"/>
      <w:r w:rsidRPr="0036392F">
        <w:rPr>
          <w:i/>
          <w:sz w:val="24"/>
          <w:szCs w:val="24"/>
          <w:lang w:val="en-US"/>
        </w:rPr>
        <w:t xml:space="preserve"> </w:t>
      </w:r>
      <w:proofErr w:type="spellStart"/>
      <w:r w:rsidRPr="0036392F">
        <w:rPr>
          <w:i/>
          <w:sz w:val="24"/>
          <w:szCs w:val="24"/>
          <w:lang w:val="en-US"/>
        </w:rPr>
        <w:t>baturu</w:t>
      </w:r>
      <w:proofErr w:type="spellEnd"/>
      <w:r w:rsidRPr="0036392F">
        <w:rPr>
          <w:i/>
          <w:sz w:val="24"/>
          <w:szCs w:val="24"/>
          <w:lang w:val="en-US"/>
        </w:rPr>
        <w:t xml:space="preserve"> </w:t>
      </w:r>
      <w:proofErr w:type="spellStart"/>
      <w:r w:rsidRPr="0036392F">
        <w:rPr>
          <w:i/>
          <w:sz w:val="24"/>
          <w:szCs w:val="24"/>
          <w:lang w:val="en-US"/>
        </w:rPr>
        <w:t>giyūn</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i/>
          <w:sz w:val="24"/>
          <w:szCs w:val="24"/>
          <w:lang w:val="en-US"/>
        </w:rPr>
        <w:t xml:space="preserve"> . </w:t>
      </w:r>
      <w:r w:rsidRPr="0036392F">
        <w:rPr>
          <w:sz w:val="24"/>
          <w:szCs w:val="24"/>
          <w:lang w:val="en-US"/>
        </w:rPr>
        <w:t xml:space="preserve">(10) </w:t>
      </w:r>
      <w:r w:rsidRPr="0036392F">
        <w:rPr>
          <w:i/>
          <w:sz w:val="24"/>
          <w:szCs w:val="24"/>
          <w:lang w:val="en-US"/>
        </w:rPr>
        <w:t xml:space="preserve">++ </w:t>
      </w:r>
      <w:proofErr w:type="spellStart"/>
      <w:r w:rsidRPr="0036392F">
        <w:rPr>
          <w:i/>
          <w:sz w:val="24"/>
          <w:szCs w:val="24"/>
          <w:lang w:val="en-US"/>
        </w:rPr>
        <w:t>dergici</w:t>
      </w:r>
      <w:proofErr w:type="spellEnd"/>
      <w:r w:rsidRPr="0036392F">
        <w:rPr>
          <w:i/>
          <w:sz w:val="24"/>
          <w:szCs w:val="24"/>
          <w:lang w:val="en-US"/>
        </w:rPr>
        <w:t xml:space="preserve"> </w:t>
      </w:r>
      <w:proofErr w:type="spellStart"/>
      <w:r w:rsidRPr="0036392F">
        <w:rPr>
          <w:i/>
          <w:sz w:val="24"/>
          <w:szCs w:val="24"/>
          <w:lang w:val="en-US"/>
        </w:rPr>
        <w:t>cohome</w:t>
      </w:r>
      <w:proofErr w:type="spellEnd"/>
      <w:r w:rsidRPr="0036392F">
        <w:rPr>
          <w:i/>
          <w:sz w:val="24"/>
          <w:szCs w:val="24"/>
          <w:lang w:val="en-US"/>
        </w:rPr>
        <w:t xml:space="preserve"> </w:t>
      </w:r>
      <w:proofErr w:type="spellStart"/>
      <w:r w:rsidRPr="0036392F">
        <w:rPr>
          <w:i/>
          <w:sz w:val="24"/>
          <w:szCs w:val="24"/>
          <w:lang w:val="en-US"/>
        </w:rPr>
        <w:t>niyamarame</w:t>
      </w:r>
      <w:proofErr w:type="spellEnd"/>
      <w:r w:rsidRPr="0036392F">
        <w:rPr>
          <w:i/>
          <w:sz w:val="24"/>
          <w:szCs w:val="24"/>
          <w:lang w:val="en-US"/>
        </w:rPr>
        <w:t xml:space="preserve"> </w:t>
      </w:r>
      <w:proofErr w:type="spellStart"/>
      <w:r w:rsidRPr="0036392F">
        <w:rPr>
          <w:i/>
          <w:sz w:val="24"/>
          <w:szCs w:val="24"/>
          <w:lang w:val="en-US"/>
        </w:rPr>
        <w:t>acaki</w:t>
      </w:r>
      <w:proofErr w:type="spellEnd"/>
      <w:r w:rsidRPr="0036392F">
        <w:rPr>
          <w:i/>
          <w:sz w:val="24"/>
          <w:szCs w:val="24"/>
          <w:lang w:val="en-US"/>
        </w:rPr>
        <w:t xml:space="preserve"> </w:t>
      </w:r>
      <w:proofErr w:type="spellStart"/>
      <w:r w:rsidRPr="0036392F">
        <w:rPr>
          <w:i/>
          <w:sz w:val="24"/>
          <w:szCs w:val="24"/>
          <w:lang w:val="en-US"/>
        </w:rPr>
        <w:t>jio</w:t>
      </w:r>
      <w:proofErr w:type="spellEnd"/>
      <w:r w:rsidRPr="0036392F">
        <w:rPr>
          <w:i/>
          <w:sz w:val="24"/>
          <w:szCs w:val="24"/>
          <w:lang w:val="en-US"/>
        </w:rPr>
        <w:t xml:space="preserve"> </w:t>
      </w:r>
      <w:proofErr w:type="spellStart"/>
      <w:r w:rsidRPr="0036392F">
        <w:rPr>
          <w:i/>
          <w:sz w:val="24"/>
          <w:szCs w:val="24"/>
          <w:lang w:val="en-US"/>
        </w:rPr>
        <w:t>sehede</w:t>
      </w:r>
      <w:proofErr w:type="spellEnd"/>
      <w:r w:rsidRPr="0036392F">
        <w:rPr>
          <w:i/>
          <w:sz w:val="24"/>
          <w:szCs w:val="24"/>
          <w:lang w:val="en-US"/>
        </w:rPr>
        <w:t xml:space="preserve"> . </w:t>
      </w:r>
      <w:proofErr w:type="spellStart"/>
      <w:r w:rsidRPr="0036392F">
        <w:rPr>
          <w:i/>
          <w:sz w:val="24"/>
          <w:szCs w:val="24"/>
          <w:lang w:val="en-US"/>
        </w:rPr>
        <w:t>uthai</w:t>
      </w:r>
      <w:proofErr w:type="spellEnd"/>
      <w:r w:rsidRPr="0036392F">
        <w:rPr>
          <w:i/>
          <w:sz w:val="24"/>
          <w:szCs w:val="24"/>
          <w:lang w:val="en-US"/>
        </w:rPr>
        <w:t xml:space="preserve"> </w:t>
      </w:r>
      <w:proofErr w:type="spellStart"/>
      <w:r w:rsidRPr="0036392F">
        <w:rPr>
          <w:i/>
          <w:sz w:val="24"/>
          <w:szCs w:val="24"/>
          <w:lang w:val="en-US"/>
        </w:rPr>
        <w:t>urgunjehei</w:t>
      </w:r>
      <w:proofErr w:type="spellEnd"/>
      <w:r w:rsidRPr="0036392F">
        <w:rPr>
          <w:i/>
          <w:sz w:val="24"/>
          <w:szCs w:val="24"/>
          <w:lang w:val="en-US"/>
        </w:rPr>
        <w:t xml:space="preserve"> </w:t>
      </w:r>
      <w:proofErr w:type="spellStart"/>
      <w:r w:rsidRPr="0036392F">
        <w:rPr>
          <w:i/>
          <w:sz w:val="24"/>
          <w:szCs w:val="24"/>
          <w:lang w:val="en-US"/>
        </w:rPr>
        <w:t>jiderakū</w:t>
      </w:r>
      <w:proofErr w:type="spellEnd"/>
      <w:r w:rsidRPr="0036392F">
        <w:rPr>
          <w:sz w:val="24"/>
          <w:szCs w:val="24"/>
          <w:lang w:val="en-US"/>
        </w:rPr>
        <w:t xml:space="preserve"> (11) </w:t>
      </w:r>
      <w:proofErr w:type="spellStart"/>
      <w:r w:rsidRPr="0036392F">
        <w:rPr>
          <w:i/>
          <w:sz w:val="24"/>
          <w:szCs w:val="24"/>
          <w:lang w:val="en-US"/>
        </w:rPr>
        <w:t>elemangga</w:t>
      </w:r>
      <w:proofErr w:type="spellEnd"/>
      <w:r w:rsidRPr="0036392F">
        <w:rPr>
          <w:i/>
          <w:sz w:val="24"/>
          <w:szCs w:val="24"/>
          <w:lang w:val="en-US"/>
        </w:rPr>
        <w:t xml:space="preserve"> </w:t>
      </w:r>
      <w:proofErr w:type="spellStart"/>
      <w:r w:rsidRPr="0036392F">
        <w:rPr>
          <w:i/>
          <w:sz w:val="24"/>
          <w:szCs w:val="24"/>
          <w:lang w:val="en-US"/>
        </w:rPr>
        <w:t>joriktu</w:t>
      </w:r>
      <w:proofErr w:type="spellEnd"/>
      <w:r w:rsidRPr="0036392F">
        <w:rPr>
          <w:i/>
          <w:sz w:val="24"/>
          <w:szCs w:val="24"/>
          <w:lang w:val="en-US"/>
        </w:rPr>
        <w:t xml:space="preserve"> </w:t>
      </w:r>
      <w:proofErr w:type="spellStart"/>
      <w:r w:rsidRPr="0036392F">
        <w:rPr>
          <w:i/>
          <w:sz w:val="24"/>
          <w:szCs w:val="24"/>
          <w:lang w:val="en-US"/>
        </w:rPr>
        <w:t>cin</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i/>
          <w:sz w:val="24"/>
          <w:szCs w:val="24"/>
          <w:lang w:val="en-US"/>
        </w:rPr>
        <w:t xml:space="preserve"> </w:t>
      </w:r>
      <w:proofErr w:type="spellStart"/>
      <w:r w:rsidRPr="0036392F">
        <w:rPr>
          <w:i/>
          <w:sz w:val="24"/>
          <w:szCs w:val="24"/>
          <w:lang w:val="en-US"/>
        </w:rPr>
        <w:t>oci</w:t>
      </w:r>
      <w:proofErr w:type="spellEnd"/>
      <w:r w:rsidRPr="0036392F">
        <w:rPr>
          <w:sz w:val="24"/>
          <w:szCs w:val="24"/>
          <w:lang w:val="en-US"/>
        </w:rPr>
        <w:t xml:space="preserve"> . (12) ++ </w:t>
      </w:r>
      <w:proofErr w:type="spellStart"/>
      <w:r w:rsidRPr="0036392F">
        <w:rPr>
          <w:i/>
          <w:sz w:val="24"/>
          <w:szCs w:val="24"/>
          <w:lang w:val="en-US"/>
        </w:rPr>
        <w:t>hese</w:t>
      </w:r>
      <w:proofErr w:type="spellEnd"/>
      <w:r w:rsidRPr="0036392F">
        <w:rPr>
          <w:i/>
          <w:sz w:val="24"/>
          <w:szCs w:val="24"/>
          <w:lang w:val="en-US"/>
        </w:rPr>
        <w:t xml:space="preserve"> be </w:t>
      </w:r>
      <w:proofErr w:type="spellStart"/>
      <w:r w:rsidRPr="0036392F">
        <w:rPr>
          <w:i/>
          <w:sz w:val="24"/>
          <w:szCs w:val="24"/>
          <w:lang w:val="en-US"/>
        </w:rPr>
        <w:t>bairakū</w:t>
      </w:r>
      <w:proofErr w:type="spellEnd"/>
      <w:r w:rsidRPr="0036392F">
        <w:rPr>
          <w:i/>
          <w:sz w:val="24"/>
          <w:szCs w:val="24"/>
          <w:lang w:val="en-US"/>
        </w:rPr>
        <w:t xml:space="preserve"> . </w:t>
      </w:r>
      <w:proofErr w:type="spellStart"/>
      <w:r w:rsidRPr="0036392F">
        <w:rPr>
          <w:i/>
          <w:sz w:val="24"/>
          <w:szCs w:val="24"/>
          <w:lang w:val="en-US"/>
        </w:rPr>
        <w:t>ini</w:t>
      </w:r>
      <w:proofErr w:type="spellEnd"/>
      <w:r w:rsidRPr="0036392F">
        <w:rPr>
          <w:i/>
          <w:sz w:val="24"/>
          <w:szCs w:val="24"/>
          <w:lang w:val="en-US"/>
        </w:rPr>
        <w:t xml:space="preserve"> </w:t>
      </w:r>
      <w:proofErr w:type="spellStart"/>
      <w:r w:rsidRPr="0036392F">
        <w:rPr>
          <w:i/>
          <w:sz w:val="24"/>
          <w:szCs w:val="24"/>
          <w:lang w:val="en-US"/>
        </w:rPr>
        <w:t>cisui</w:t>
      </w:r>
      <w:proofErr w:type="spellEnd"/>
      <w:r w:rsidRPr="0036392F">
        <w:rPr>
          <w:i/>
          <w:sz w:val="24"/>
          <w:szCs w:val="24"/>
          <w:lang w:val="en-US"/>
        </w:rPr>
        <w:t xml:space="preserve"> </w:t>
      </w:r>
      <w:proofErr w:type="spellStart"/>
      <w:r w:rsidRPr="0036392F">
        <w:rPr>
          <w:i/>
          <w:sz w:val="24"/>
          <w:szCs w:val="24"/>
          <w:lang w:val="en-US"/>
        </w:rPr>
        <w:t>gungju</w:t>
      </w:r>
      <w:proofErr w:type="spellEnd"/>
      <w:r w:rsidRPr="0036392F">
        <w:rPr>
          <w:i/>
          <w:sz w:val="24"/>
          <w:szCs w:val="24"/>
          <w:lang w:val="en-US"/>
        </w:rPr>
        <w:t xml:space="preserve"> </w:t>
      </w:r>
      <w:proofErr w:type="spellStart"/>
      <w:r w:rsidRPr="0036392F">
        <w:rPr>
          <w:i/>
          <w:sz w:val="24"/>
          <w:szCs w:val="24"/>
          <w:lang w:val="en-US"/>
        </w:rPr>
        <w:t>nimere</w:t>
      </w:r>
      <w:proofErr w:type="spellEnd"/>
      <w:r w:rsidRPr="0036392F">
        <w:rPr>
          <w:i/>
          <w:sz w:val="24"/>
          <w:szCs w:val="24"/>
          <w:lang w:val="en-US"/>
        </w:rPr>
        <w:t xml:space="preserve"> be </w:t>
      </w:r>
      <w:proofErr w:type="spellStart"/>
      <w:r w:rsidRPr="0036392F">
        <w:rPr>
          <w:i/>
          <w:sz w:val="24"/>
          <w:szCs w:val="24"/>
          <w:lang w:val="en-US"/>
        </w:rPr>
        <w:t>dahame</w:t>
      </w:r>
      <w:proofErr w:type="spellEnd"/>
      <w:r w:rsidRPr="0036392F">
        <w:rPr>
          <w:i/>
          <w:sz w:val="24"/>
          <w:szCs w:val="24"/>
          <w:lang w:val="en-US"/>
        </w:rPr>
        <w:t xml:space="preserve"> </w:t>
      </w:r>
      <w:proofErr w:type="spellStart"/>
      <w:r w:rsidRPr="0036392F">
        <w:rPr>
          <w:i/>
          <w:sz w:val="24"/>
          <w:szCs w:val="24"/>
          <w:lang w:val="en-US"/>
        </w:rPr>
        <w:t>jidere</w:t>
      </w:r>
      <w:proofErr w:type="spellEnd"/>
      <w:r w:rsidRPr="0036392F">
        <w:rPr>
          <w:i/>
          <w:sz w:val="24"/>
          <w:szCs w:val="24"/>
          <w:lang w:val="en-US"/>
        </w:rPr>
        <w:t xml:space="preserve"> be </w:t>
      </w:r>
      <w:proofErr w:type="spellStart"/>
      <w:r w:rsidRPr="0036392F">
        <w:rPr>
          <w:i/>
          <w:sz w:val="24"/>
          <w:szCs w:val="24"/>
          <w:lang w:val="en-US"/>
        </w:rPr>
        <w:t>tookaha</w:t>
      </w:r>
      <w:proofErr w:type="spellEnd"/>
      <w:r w:rsidRPr="0036392F">
        <w:rPr>
          <w:sz w:val="24"/>
          <w:szCs w:val="24"/>
          <w:lang w:val="en-US"/>
        </w:rPr>
        <w:t xml:space="preserve"> (bottom 1) </w:t>
      </w:r>
      <w:proofErr w:type="spellStart"/>
      <w:r w:rsidRPr="0036392F">
        <w:rPr>
          <w:i/>
          <w:sz w:val="24"/>
          <w:szCs w:val="24"/>
          <w:lang w:val="en-US"/>
        </w:rPr>
        <w:t>sehebi</w:t>
      </w:r>
      <w:proofErr w:type="spellEnd"/>
      <w:r w:rsidRPr="0036392F">
        <w:rPr>
          <w:i/>
          <w:sz w:val="24"/>
          <w:szCs w:val="24"/>
          <w:lang w:val="en-US"/>
        </w:rPr>
        <w:t xml:space="preserve"> : </w:t>
      </w:r>
      <w:proofErr w:type="spellStart"/>
      <w:r w:rsidRPr="0036392F">
        <w:rPr>
          <w:i/>
          <w:sz w:val="24"/>
          <w:szCs w:val="24"/>
          <w:lang w:val="en-US"/>
        </w:rPr>
        <w:t>darhan</w:t>
      </w:r>
      <w:proofErr w:type="spellEnd"/>
      <w:r w:rsidRPr="0036392F">
        <w:rPr>
          <w:i/>
          <w:sz w:val="24"/>
          <w:szCs w:val="24"/>
          <w:lang w:val="en-US"/>
        </w:rPr>
        <w:t xml:space="preserve"> </w:t>
      </w:r>
      <w:proofErr w:type="spellStart"/>
      <w:r w:rsidRPr="0036392F">
        <w:rPr>
          <w:i/>
          <w:sz w:val="24"/>
          <w:szCs w:val="24"/>
          <w:lang w:val="en-US"/>
        </w:rPr>
        <w:t>baturu</w:t>
      </w:r>
      <w:proofErr w:type="spellEnd"/>
      <w:r w:rsidRPr="0036392F">
        <w:rPr>
          <w:i/>
          <w:sz w:val="24"/>
          <w:szCs w:val="24"/>
          <w:lang w:val="en-US"/>
        </w:rPr>
        <w:t xml:space="preserve"> </w:t>
      </w:r>
      <w:proofErr w:type="spellStart"/>
      <w:r w:rsidRPr="0036392F">
        <w:rPr>
          <w:i/>
          <w:sz w:val="24"/>
          <w:szCs w:val="24"/>
          <w:lang w:val="en-US"/>
        </w:rPr>
        <w:t>giyūn</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i/>
          <w:sz w:val="24"/>
          <w:szCs w:val="24"/>
          <w:lang w:val="en-US"/>
        </w:rPr>
        <w:t xml:space="preserve"> </w:t>
      </w:r>
      <w:proofErr w:type="spellStart"/>
      <w:r w:rsidRPr="0036392F">
        <w:rPr>
          <w:i/>
          <w:sz w:val="24"/>
          <w:szCs w:val="24"/>
          <w:lang w:val="en-US"/>
        </w:rPr>
        <w:t>geli</w:t>
      </w:r>
      <w:proofErr w:type="spellEnd"/>
      <w:r w:rsidRPr="0036392F">
        <w:rPr>
          <w:i/>
          <w:sz w:val="24"/>
          <w:szCs w:val="24"/>
          <w:lang w:val="en-US"/>
        </w:rPr>
        <w:t xml:space="preserve"> </w:t>
      </w:r>
      <w:proofErr w:type="spellStart"/>
      <w:r w:rsidRPr="0036392F">
        <w:rPr>
          <w:i/>
          <w:sz w:val="24"/>
          <w:szCs w:val="24"/>
          <w:lang w:val="en-US"/>
        </w:rPr>
        <w:t>beye</w:t>
      </w:r>
      <w:proofErr w:type="spellEnd"/>
      <w:r w:rsidRPr="0036392F">
        <w:rPr>
          <w:i/>
          <w:sz w:val="24"/>
          <w:szCs w:val="24"/>
          <w:lang w:val="en-US"/>
        </w:rPr>
        <w:t xml:space="preserve"> </w:t>
      </w:r>
      <w:proofErr w:type="spellStart"/>
      <w:r w:rsidRPr="0036392F">
        <w:rPr>
          <w:i/>
          <w:sz w:val="24"/>
          <w:szCs w:val="24"/>
          <w:lang w:val="en-US"/>
        </w:rPr>
        <w:t>edun</w:t>
      </w:r>
      <w:proofErr w:type="spellEnd"/>
      <w:r w:rsidRPr="0036392F">
        <w:rPr>
          <w:i/>
          <w:sz w:val="24"/>
          <w:szCs w:val="24"/>
          <w:lang w:val="en-US"/>
        </w:rPr>
        <w:t xml:space="preserve"> </w:t>
      </w:r>
      <w:proofErr w:type="spellStart"/>
      <w:r w:rsidRPr="0036392F">
        <w:rPr>
          <w:i/>
          <w:sz w:val="24"/>
          <w:szCs w:val="24"/>
          <w:lang w:val="en-US"/>
        </w:rPr>
        <w:t>dekdehebi</w:t>
      </w:r>
      <w:proofErr w:type="spellEnd"/>
      <w:r w:rsidRPr="0036392F">
        <w:rPr>
          <w:i/>
          <w:sz w:val="24"/>
          <w:szCs w:val="24"/>
          <w:lang w:val="en-US"/>
        </w:rPr>
        <w:t xml:space="preserve"> : </w:t>
      </w:r>
      <w:proofErr w:type="spellStart"/>
      <w:r w:rsidRPr="0036392F">
        <w:rPr>
          <w:i/>
          <w:sz w:val="24"/>
          <w:szCs w:val="24"/>
          <w:lang w:val="en-US"/>
        </w:rPr>
        <w:t>gege</w:t>
      </w:r>
      <w:proofErr w:type="spellEnd"/>
      <w:r w:rsidRPr="0036392F">
        <w:rPr>
          <w:i/>
          <w:sz w:val="24"/>
          <w:szCs w:val="24"/>
          <w:lang w:val="en-US"/>
        </w:rPr>
        <w:t xml:space="preserve"> </w:t>
      </w:r>
      <w:proofErr w:type="spellStart"/>
      <w:r w:rsidRPr="0036392F">
        <w:rPr>
          <w:i/>
          <w:sz w:val="24"/>
          <w:szCs w:val="24"/>
          <w:lang w:val="en-US"/>
        </w:rPr>
        <w:t>geli</w:t>
      </w:r>
      <w:proofErr w:type="spellEnd"/>
      <w:r w:rsidRPr="0036392F">
        <w:rPr>
          <w:sz w:val="24"/>
          <w:szCs w:val="24"/>
          <w:lang w:val="en-US"/>
        </w:rPr>
        <w:t xml:space="preserve"> (2) </w:t>
      </w:r>
      <w:proofErr w:type="spellStart"/>
      <w:r w:rsidRPr="0036392F">
        <w:rPr>
          <w:i/>
          <w:sz w:val="24"/>
          <w:szCs w:val="24"/>
          <w:lang w:val="en-US"/>
        </w:rPr>
        <w:t>hefeli</w:t>
      </w:r>
      <w:proofErr w:type="spellEnd"/>
      <w:r w:rsidRPr="0036392F">
        <w:rPr>
          <w:i/>
          <w:sz w:val="24"/>
          <w:szCs w:val="24"/>
          <w:lang w:val="en-US"/>
        </w:rPr>
        <w:t xml:space="preserve"> </w:t>
      </w:r>
      <w:proofErr w:type="spellStart"/>
      <w:r w:rsidRPr="0036392F">
        <w:rPr>
          <w:i/>
          <w:sz w:val="24"/>
          <w:szCs w:val="24"/>
          <w:lang w:val="en-US"/>
        </w:rPr>
        <w:t>aššahabi</w:t>
      </w:r>
      <w:proofErr w:type="spellEnd"/>
      <w:r w:rsidRPr="0036392F">
        <w:rPr>
          <w:i/>
          <w:sz w:val="24"/>
          <w:szCs w:val="24"/>
          <w:lang w:val="en-US"/>
        </w:rPr>
        <w:t xml:space="preserve"> : </w:t>
      </w:r>
      <w:proofErr w:type="spellStart"/>
      <w:r w:rsidRPr="0036392F">
        <w:rPr>
          <w:i/>
          <w:sz w:val="24"/>
          <w:szCs w:val="24"/>
          <w:lang w:val="en-US"/>
        </w:rPr>
        <w:t>juwe</w:t>
      </w:r>
      <w:proofErr w:type="spellEnd"/>
      <w:r w:rsidRPr="0036392F">
        <w:rPr>
          <w:i/>
          <w:sz w:val="24"/>
          <w:szCs w:val="24"/>
          <w:lang w:val="en-US"/>
        </w:rPr>
        <w:t xml:space="preserve"> </w:t>
      </w:r>
      <w:proofErr w:type="spellStart"/>
      <w:r w:rsidRPr="0036392F">
        <w:rPr>
          <w:i/>
          <w:sz w:val="24"/>
          <w:szCs w:val="24"/>
          <w:lang w:val="en-US"/>
        </w:rPr>
        <w:t>omolo</w:t>
      </w:r>
      <w:proofErr w:type="spellEnd"/>
      <w:r w:rsidRPr="0036392F">
        <w:rPr>
          <w:i/>
          <w:sz w:val="24"/>
          <w:szCs w:val="24"/>
          <w:lang w:val="en-US"/>
        </w:rPr>
        <w:t xml:space="preserve"> </w:t>
      </w:r>
      <w:proofErr w:type="spellStart"/>
      <w:r w:rsidRPr="0036392F">
        <w:rPr>
          <w:i/>
          <w:sz w:val="24"/>
          <w:szCs w:val="24"/>
          <w:lang w:val="en-US"/>
        </w:rPr>
        <w:t>akū</w:t>
      </w:r>
      <w:proofErr w:type="spellEnd"/>
      <w:r w:rsidRPr="0036392F">
        <w:rPr>
          <w:i/>
          <w:sz w:val="24"/>
          <w:szCs w:val="24"/>
          <w:lang w:val="en-US"/>
        </w:rPr>
        <w:t xml:space="preserve"> oho </w:t>
      </w:r>
      <w:proofErr w:type="spellStart"/>
      <w:r w:rsidRPr="0036392F">
        <w:rPr>
          <w:i/>
          <w:sz w:val="24"/>
          <w:szCs w:val="24"/>
          <w:lang w:val="en-US"/>
        </w:rPr>
        <w:t>seme</w:t>
      </w:r>
      <w:proofErr w:type="spellEnd"/>
      <w:r w:rsidRPr="0036392F">
        <w:rPr>
          <w:i/>
          <w:sz w:val="24"/>
          <w:szCs w:val="24"/>
          <w:lang w:val="en-US"/>
        </w:rPr>
        <w:t xml:space="preserve"> </w:t>
      </w:r>
      <w:proofErr w:type="spellStart"/>
      <w:r w:rsidRPr="0036392F">
        <w:rPr>
          <w:i/>
          <w:sz w:val="24"/>
          <w:szCs w:val="24"/>
          <w:lang w:val="en-US"/>
        </w:rPr>
        <w:t>hacilame</w:t>
      </w:r>
      <w:proofErr w:type="spellEnd"/>
      <w:r w:rsidRPr="0036392F">
        <w:rPr>
          <w:i/>
          <w:sz w:val="24"/>
          <w:szCs w:val="24"/>
          <w:lang w:val="en-US"/>
        </w:rPr>
        <w:t xml:space="preserve"> </w:t>
      </w:r>
      <w:proofErr w:type="spellStart"/>
      <w:r w:rsidRPr="0036392F">
        <w:rPr>
          <w:i/>
          <w:sz w:val="24"/>
          <w:szCs w:val="24"/>
          <w:lang w:val="en-US"/>
        </w:rPr>
        <w:t>baita</w:t>
      </w:r>
      <w:proofErr w:type="spellEnd"/>
      <w:r w:rsidRPr="0036392F">
        <w:rPr>
          <w:sz w:val="24"/>
          <w:szCs w:val="24"/>
          <w:lang w:val="en-US"/>
        </w:rPr>
        <w:t xml:space="preserve"> (3) </w:t>
      </w:r>
      <w:proofErr w:type="spellStart"/>
      <w:r w:rsidRPr="0036392F">
        <w:rPr>
          <w:i/>
          <w:sz w:val="24"/>
          <w:szCs w:val="24"/>
          <w:lang w:val="en-US"/>
        </w:rPr>
        <w:t>tucibume</w:t>
      </w:r>
      <w:proofErr w:type="spellEnd"/>
      <w:r w:rsidRPr="0036392F">
        <w:rPr>
          <w:i/>
          <w:sz w:val="24"/>
          <w:szCs w:val="24"/>
          <w:lang w:val="en-US"/>
        </w:rPr>
        <w:t xml:space="preserve"> .</w:t>
      </w:r>
      <w:r w:rsidRPr="0036392F">
        <w:rPr>
          <w:sz w:val="24"/>
          <w:szCs w:val="24"/>
          <w:lang w:val="en-US"/>
        </w:rPr>
        <w:t xml:space="preserve"> (4) ++ </w:t>
      </w:r>
      <w:proofErr w:type="spellStart"/>
      <w:r w:rsidRPr="0036392F">
        <w:rPr>
          <w:i/>
          <w:sz w:val="24"/>
          <w:szCs w:val="24"/>
          <w:lang w:val="en-US"/>
        </w:rPr>
        <w:t>hese</w:t>
      </w:r>
      <w:proofErr w:type="spellEnd"/>
      <w:r w:rsidRPr="0036392F">
        <w:rPr>
          <w:i/>
          <w:sz w:val="24"/>
          <w:szCs w:val="24"/>
          <w:lang w:val="en-US"/>
        </w:rPr>
        <w:t xml:space="preserve"> be </w:t>
      </w:r>
      <w:proofErr w:type="spellStart"/>
      <w:r w:rsidRPr="0036392F">
        <w:rPr>
          <w:i/>
          <w:sz w:val="24"/>
          <w:szCs w:val="24"/>
          <w:lang w:val="en-US"/>
        </w:rPr>
        <w:t>jurceme</w:t>
      </w:r>
      <w:proofErr w:type="spellEnd"/>
      <w:r w:rsidRPr="0036392F">
        <w:rPr>
          <w:i/>
          <w:sz w:val="24"/>
          <w:szCs w:val="24"/>
          <w:lang w:val="en-US"/>
        </w:rPr>
        <w:t xml:space="preserve"> </w:t>
      </w:r>
      <w:proofErr w:type="spellStart"/>
      <w:r w:rsidRPr="0036392F">
        <w:rPr>
          <w:i/>
          <w:sz w:val="24"/>
          <w:szCs w:val="24"/>
          <w:lang w:val="en-US"/>
        </w:rPr>
        <w:t>wesimbuhengge</w:t>
      </w:r>
      <w:proofErr w:type="spellEnd"/>
      <w:r w:rsidRPr="0036392F">
        <w:rPr>
          <w:i/>
          <w:sz w:val="24"/>
          <w:szCs w:val="24"/>
          <w:lang w:val="en-US"/>
        </w:rPr>
        <w:t xml:space="preserve"> </w:t>
      </w:r>
      <w:proofErr w:type="spellStart"/>
      <w:r w:rsidRPr="0036392F">
        <w:rPr>
          <w:i/>
          <w:sz w:val="24"/>
          <w:szCs w:val="24"/>
          <w:lang w:val="en-US"/>
        </w:rPr>
        <w:t>ambula</w:t>
      </w:r>
      <w:proofErr w:type="spellEnd"/>
      <w:r w:rsidRPr="0036392F">
        <w:rPr>
          <w:i/>
          <w:sz w:val="24"/>
          <w:szCs w:val="24"/>
          <w:lang w:val="en-US"/>
        </w:rPr>
        <w:t xml:space="preserve"> </w:t>
      </w:r>
      <w:proofErr w:type="spellStart"/>
      <w:r w:rsidRPr="0036392F">
        <w:rPr>
          <w:i/>
          <w:sz w:val="24"/>
          <w:szCs w:val="24"/>
          <w:lang w:val="en-US"/>
        </w:rPr>
        <w:t>giyan</w:t>
      </w:r>
      <w:proofErr w:type="spellEnd"/>
      <w:r w:rsidRPr="0036392F">
        <w:rPr>
          <w:i/>
          <w:sz w:val="24"/>
          <w:szCs w:val="24"/>
          <w:lang w:val="en-US"/>
        </w:rPr>
        <w:t xml:space="preserve"> de </w:t>
      </w:r>
      <w:proofErr w:type="spellStart"/>
      <w:r w:rsidRPr="0036392F">
        <w:rPr>
          <w:i/>
          <w:sz w:val="24"/>
          <w:szCs w:val="24"/>
          <w:lang w:val="en-US"/>
        </w:rPr>
        <w:t>acahakūbi</w:t>
      </w:r>
      <w:proofErr w:type="spellEnd"/>
      <w:r w:rsidRPr="0036392F">
        <w:rPr>
          <w:i/>
          <w:sz w:val="24"/>
          <w:szCs w:val="24"/>
          <w:lang w:val="en-US"/>
        </w:rPr>
        <w:t xml:space="preserve"> :</w:t>
      </w:r>
    </w:p>
  </w:endnote>
  <w:endnote w:id="23">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Died in 1666 and was succeeded by his younger brother </w:t>
      </w:r>
      <w:proofErr w:type="spellStart"/>
      <w:r w:rsidRPr="0036392F">
        <w:rPr>
          <w:sz w:val="24"/>
          <w:szCs w:val="24"/>
          <w:lang w:val="en-US"/>
        </w:rPr>
        <w:t>Biltagar</w:t>
      </w:r>
      <w:proofErr w:type="spellEnd"/>
      <w:r w:rsidRPr="0036392F">
        <w:rPr>
          <w:sz w:val="24"/>
          <w:szCs w:val="24"/>
          <w:lang w:val="en-US"/>
        </w:rPr>
        <w:t xml:space="preserve"> (</w:t>
      </w:r>
      <w:r w:rsidRPr="0036392F">
        <w:rPr>
          <w:i/>
          <w:sz w:val="24"/>
          <w:szCs w:val="24"/>
          <w:lang w:val="en-US"/>
        </w:rPr>
        <w:t xml:space="preserve">Qing </w:t>
      </w:r>
      <w:proofErr w:type="spellStart"/>
      <w:r w:rsidRPr="0036392F">
        <w:rPr>
          <w:i/>
          <w:sz w:val="24"/>
          <w:szCs w:val="24"/>
          <w:lang w:val="en-US"/>
        </w:rPr>
        <w:t>chao</w:t>
      </w:r>
      <w:proofErr w:type="spellEnd"/>
      <w:r w:rsidRPr="0036392F">
        <w:rPr>
          <w:i/>
          <w:sz w:val="24"/>
          <w:szCs w:val="24"/>
          <w:lang w:val="en-US"/>
        </w:rPr>
        <w:t xml:space="preserve"> </w:t>
      </w:r>
      <w:proofErr w:type="spellStart"/>
      <w:r w:rsidRPr="0036392F">
        <w:rPr>
          <w:i/>
          <w:sz w:val="24"/>
          <w:szCs w:val="24"/>
          <w:lang w:val="en-US"/>
        </w:rPr>
        <w:t>qianqi</w:t>
      </w:r>
      <w:proofErr w:type="spellEnd"/>
      <w:r w:rsidRPr="0036392F">
        <w:rPr>
          <w:i/>
          <w:sz w:val="24"/>
          <w:szCs w:val="24"/>
          <w:lang w:val="en-US"/>
        </w:rPr>
        <w:t xml:space="preserve"> </w:t>
      </w:r>
      <w:proofErr w:type="spellStart"/>
      <w:r w:rsidRPr="0036392F">
        <w:rPr>
          <w:i/>
          <w:sz w:val="24"/>
          <w:szCs w:val="24"/>
          <w:lang w:val="en-US"/>
        </w:rPr>
        <w:t>Lifanyuan</w:t>
      </w:r>
      <w:proofErr w:type="spellEnd"/>
      <w:r w:rsidRPr="0036392F">
        <w:rPr>
          <w:iCs/>
          <w:sz w:val="24"/>
          <w:szCs w:val="24"/>
          <w:lang w:val="en-US"/>
        </w:rPr>
        <w:t xml:space="preserve"> 2010: vol. 1, </w:t>
      </w:r>
      <w:r w:rsidRPr="0036392F">
        <w:rPr>
          <w:sz w:val="24"/>
          <w:szCs w:val="24"/>
          <w:lang w:val="en-US"/>
        </w:rPr>
        <w:t>401/402).</w:t>
      </w:r>
      <w:r w:rsidRPr="0036392F">
        <w:rPr>
          <w:i/>
          <w:sz w:val="24"/>
          <w:szCs w:val="24"/>
          <w:lang w:val="en-US"/>
        </w:rPr>
        <w:t xml:space="preserve"> </w:t>
      </w:r>
      <w:r w:rsidRPr="0036392F">
        <w:rPr>
          <w:sz w:val="24"/>
          <w:szCs w:val="24"/>
          <w:lang w:val="en-US"/>
        </w:rPr>
        <w:t xml:space="preserve">According to </w:t>
      </w:r>
      <w:proofErr w:type="spellStart"/>
      <w:r w:rsidRPr="0036392F">
        <w:rPr>
          <w:i/>
          <w:sz w:val="24"/>
          <w:szCs w:val="24"/>
          <w:lang w:val="en-US"/>
        </w:rPr>
        <w:t>Čing</w:t>
      </w:r>
      <w:proofErr w:type="spellEnd"/>
      <w:r w:rsidRPr="0036392F">
        <w:rPr>
          <w:i/>
          <w:sz w:val="24"/>
          <w:szCs w:val="24"/>
          <w:lang w:val="en-US"/>
        </w:rPr>
        <w:t xml:space="preserve"> ulus-un</w:t>
      </w:r>
      <w:r w:rsidRPr="0036392F">
        <w:rPr>
          <w:iCs/>
          <w:sz w:val="24"/>
          <w:szCs w:val="24"/>
          <w:lang w:val="en-US"/>
        </w:rPr>
        <w:t xml:space="preserve"> </w:t>
      </w:r>
      <w:r>
        <w:rPr>
          <w:iCs/>
          <w:sz w:val="24"/>
          <w:szCs w:val="24"/>
          <w:lang w:val="en-US"/>
        </w:rPr>
        <w:t>(</w:t>
      </w:r>
      <w:r w:rsidRPr="0036392F">
        <w:rPr>
          <w:iCs/>
          <w:sz w:val="24"/>
          <w:szCs w:val="24"/>
          <w:lang w:val="en-US"/>
        </w:rPr>
        <w:t>1984:</w:t>
      </w:r>
      <w:r w:rsidRPr="0036392F">
        <w:rPr>
          <w:sz w:val="24"/>
          <w:szCs w:val="24"/>
          <w:lang w:val="en-US"/>
        </w:rPr>
        <w:t xml:space="preserve"> 31</w:t>
      </w:r>
      <w:r>
        <w:rPr>
          <w:sz w:val="24"/>
          <w:szCs w:val="24"/>
          <w:lang w:val="en-US"/>
        </w:rPr>
        <w:t>)</w:t>
      </w:r>
      <w:r w:rsidRPr="0036392F">
        <w:rPr>
          <w:sz w:val="24"/>
          <w:szCs w:val="24"/>
          <w:lang w:val="en-US"/>
        </w:rPr>
        <w:t xml:space="preserve"> the line of the </w:t>
      </w:r>
      <w:proofErr w:type="spellStart"/>
      <w:r w:rsidRPr="0036392F">
        <w:rPr>
          <w:sz w:val="24"/>
          <w:szCs w:val="24"/>
          <w:lang w:val="en-US"/>
        </w:rPr>
        <w:t>Joriktu</w:t>
      </w:r>
      <w:proofErr w:type="spellEnd"/>
      <w:r w:rsidRPr="0036392F">
        <w:rPr>
          <w:sz w:val="24"/>
          <w:szCs w:val="24"/>
          <w:lang w:val="en-US"/>
        </w:rPr>
        <w:t xml:space="preserve"> </w:t>
      </w:r>
      <w:proofErr w:type="spellStart"/>
      <w:r w:rsidRPr="0036392F">
        <w:rPr>
          <w:sz w:val="24"/>
          <w:szCs w:val="24"/>
          <w:lang w:val="en-US"/>
        </w:rPr>
        <w:t>Cin</w:t>
      </w:r>
      <w:proofErr w:type="spellEnd"/>
      <w:r w:rsidRPr="0036392F">
        <w:rPr>
          <w:sz w:val="24"/>
          <w:szCs w:val="24"/>
          <w:lang w:val="en-US"/>
        </w:rPr>
        <w:t xml:space="preserve"> Wang was not acknowledged as </w:t>
      </w:r>
      <w:r w:rsidRPr="0036392F">
        <w:rPr>
          <w:i/>
          <w:sz w:val="24"/>
          <w:szCs w:val="24"/>
          <w:lang w:val="en-US"/>
        </w:rPr>
        <w:t>ruling</w:t>
      </w:r>
      <w:r w:rsidRPr="0036392F">
        <w:rPr>
          <w:sz w:val="24"/>
          <w:szCs w:val="24"/>
          <w:lang w:val="en-US"/>
        </w:rPr>
        <w:t xml:space="preserve"> and, in administrative terms, was part of the middle banner of the </w:t>
      </w:r>
      <w:proofErr w:type="spellStart"/>
      <w:r w:rsidRPr="0036392F">
        <w:rPr>
          <w:sz w:val="24"/>
          <w:szCs w:val="24"/>
          <w:lang w:val="en-US"/>
        </w:rPr>
        <w:t>Qorčin</w:t>
      </w:r>
      <w:proofErr w:type="spellEnd"/>
      <w:r w:rsidRPr="0036392F">
        <w:rPr>
          <w:sz w:val="24"/>
          <w:szCs w:val="24"/>
          <w:lang w:val="en-US"/>
        </w:rPr>
        <w:t xml:space="preserve"> of the left wing.</w:t>
      </w:r>
    </w:p>
  </w:endnote>
  <w:endnote w:id="24">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Title of </w:t>
      </w:r>
      <w:proofErr w:type="spellStart"/>
      <w:r w:rsidRPr="0036392F">
        <w:rPr>
          <w:sz w:val="24"/>
          <w:szCs w:val="24"/>
          <w:lang w:val="en-US"/>
        </w:rPr>
        <w:t>Manjusiri</w:t>
      </w:r>
      <w:proofErr w:type="spellEnd"/>
      <w:r w:rsidRPr="0036392F">
        <w:rPr>
          <w:sz w:val="24"/>
          <w:szCs w:val="24"/>
          <w:lang w:val="en-US"/>
        </w:rPr>
        <w:t xml:space="preserve"> (died 1665), who was acknowledged to rule the middle banner of the </w:t>
      </w:r>
      <w:proofErr w:type="spellStart"/>
      <w:r w:rsidRPr="0036392F">
        <w:rPr>
          <w:sz w:val="24"/>
          <w:szCs w:val="24"/>
          <w:lang w:val="en-US"/>
        </w:rPr>
        <w:t>Qorčin</w:t>
      </w:r>
      <w:proofErr w:type="spellEnd"/>
      <w:r w:rsidRPr="0036392F">
        <w:rPr>
          <w:sz w:val="24"/>
          <w:szCs w:val="24"/>
          <w:lang w:val="en-US"/>
        </w:rPr>
        <w:t xml:space="preserve"> of the left wing. For this person see </w:t>
      </w:r>
      <w:proofErr w:type="spellStart"/>
      <w:r w:rsidRPr="0036392F">
        <w:rPr>
          <w:i/>
          <w:sz w:val="24"/>
          <w:szCs w:val="24"/>
          <w:lang w:val="en-US"/>
        </w:rPr>
        <w:t>Čing</w:t>
      </w:r>
      <w:proofErr w:type="spellEnd"/>
      <w:r w:rsidRPr="0036392F">
        <w:rPr>
          <w:i/>
          <w:sz w:val="24"/>
          <w:szCs w:val="24"/>
          <w:lang w:val="en-US"/>
        </w:rPr>
        <w:t xml:space="preserve"> ulus-un </w:t>
      </w:r>
      <w:r>
        <w:rPr>
          <w:iCs/>
          <w:sz w:val="24"/>
          <w:szCs w:val="24"/>
          <w:lang w:val="en-US"/>
        </w:rPr>
        <w:t>(</w:t>
      </w:r>
      <w:r w:rsidRPr="0036392F">
        <w:rPr>
          <w:iCs/>
          <w:sz w:val="24"/>
          <w:szCs w:val="24"/>
          <w:lang w:val="en-US"/>
        </w:rPr>
        <w:t xml:space="preserve">1984: </w:t>
      </w:r>
      <w:r w:rsidRPr="0036392F">
        <w:rPr>
          <w:sz w:val="24"/>
          <w:szCs w:val="24"/>
          <w:lang w:val="en-US"/>
        </w:rPr>
        <w:t>31/32</w:t>
      </w:r>
      <w:r>
        <w:rPr>
          <w:sz w:val="24"/>
          <w:szCs w:val="24"/>
          <w:lang w:val="en-US"/>
        </w:rPr>
        <w:t>)</w:t>
      </w:r>
      <w:r w:rsidRPr="0036392F">
        <w:rPr>
          <w:i/>
          <w:sz w:val="24"/>
          <w:szCs w:val="24"/>
          <w:lang w:val="en-US"/>
        </w:rPr>
        <w:t xml:space="preserve">. </w:t>
      </w:r>
      <w:r w:rsidRPr="0036392F">
        <w:rPr>
          <w:sz w:val="24"/>
          <w:szCs w:val="24"/>
          <w:lang w:val="en-US"/>
        </w:rPr>
        <w:t xml:space="preserve">According to </w:t>
      </w:r>
      <w:proofErr w:type="spellStart"/>
      <w:r w:rsidRPr="0036392F">
        <w:rPr>
          <w:sz w:val="24"/>
          <w:szCs w:val="24"/>
          <w:lang w:val="en-US"/>
        </w:rPr>
        <w:t>Jagchid</w:t>
      </w:r>
      <w:proofErr w:type="spellEnd"/>
      <w:r w:rsidRPr="0036392F">
        <w:rPr>
          <w:sz w:val="24"/>
          <w:szCs w:val="24"/>
          <w:lang w:val="en-US"/>
        </w:rPr>
        <w:t xml:space="preserve"> (1986: 77) </w:t>
      </w:r>
      <w:proofErr w:type="spellStart"/>
      <w:r w:rsidRPr="0036392F">
        <w:rPr>
          <w:sz w:val="24"/>
          <w:szCs w:val="24"/>
          <w:lang w:val="en-US"/>
        </w:rPr>
        <w:t>Manjusiri</w:t>
      </w:r>
      <w:proofErr w:type="spellEnd"/>
      <w:r w:rsidRPr="0036392F">
        <w:rPr>
          <w:sz w:val="24"/>
          <w:szCs w:val="24"/>
          <w:lang w:val="en-US"/>
        </w:rPr>
        <w:t xml:space="preserve"> in 1628 had married a daughter of </w:t>
      </w:r>
      <w:proofErr w:type="spellStart"/>
      <w:r w:rsidRPr="0036392F">
        <w:rPr>
          <w:sz w:val="24"/>
          <w:szCs w:val="24"/>
          <w:lang w:val="en-US"/>
        </w:rPr>
        <w:t>Yoto</w:t>
      </w:r>
      <w:proofErr w:type="spellEnd"/>
      <w:r w:rsidRPr="0036392F">
        <w:rPr>
          <w:sz w:val="24"/>
          <w:szCs w:val="24"/>
          <w:lang w:val="en-US"/>
        </w:rPr>
        <w:t xml:space="preserve"> (died 1638), who was a grandson of Nurhaci. The girl was later adopted by the emperor as his daughter.</w:t>
      </w:r>
    </w:p>
  </w:endnote>
  <w:endnote w:id="25">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The expression </w:t>
      </w:r>
      <w:proofErr w:type="spellStart"/>
      <w:r w:rsidRPr="0036392F">
        <w:rPr>
          <w:i/>
          <w:sz w:val="24"/>
          <w:szCs w:val="24"/>
          <w:lang w:val="en-US"/>
        </w:rPr>
        <w:t>hefeli</w:t>
      </w:r>
      <w:proofErr w:type="spellEnd"/>
      <w:r w:rsidRPr="0036392F">
        <w:rPr>
          <w:i/>
          <w:sz w:val="24"/>
          <w:szCs w:val="24"/>
          <w:lang w:val="en-US"/>
        </w:rPr>
        <w:t xml:space="preserve"> </w:t>
      </w:r>
      <w:proofErr w:type="spellStart"/>
      <w:r w:rsidRPr="0036392F">
        <w:rPr>
          <w:i/>
          <w:sz w:val="24"/>
          <w:szCs w:val="24"/>
          <w:lang w:val="en-US"/>
        </w:rPr>
        <w:t>aššambi</w:t>
      </w:r>
      <w:proofErr w:type="spellEnd"/>
      <w:r w:rsidRPr="0036392F">
        <w:rPr>
          <w:i/>
          <w:sz w:val="24"/>
          <w:szCs w:val="24"/>
          <w:lang w:val="en-US"/>
        </w:rPr>
        <w:t xml:space="preserve"> </w:t>
      </w:r>
      <w:r w:rsidRPr="0036392F">
        <w:rPr>
          <w:sz w:val="24"/>
          <w:szCs w:val="24"/>
          <w:lang w:val="en-US"/>
        </w:rPr>
        <w:t xml:space="preserve">is documented in </w:t>
      </w:r>
      <w:r w:rsidRPr="0036392F">
        <w:rPr>
          <w:i/>
          <w:sz w:val="24"/>
          <w:szCs w:val="24"/>
          <w:lang w:val="en-US"/>
        </w:rPr>
        <w:t xml:space="preserve">Xin </w:t>
      </w:r>
      <w:proofErr w:type="spellStart"/>
      <w:r w:rsidRPr="0036392F">
        <w:rPr>
          <w:i/>
          <w:sz w:val="24"/>
          <w:szCs w:val="24"/>
          <w:lang w:val="en-US"/>
        </w:rPr>
        <w:t>Manhan</w:t>
      </w:r>
      <w:proofErr w:type="spellEnd"/>
      <w:r w:rsidRPr="0036392F">
        <w:rPr>
          <w:i/>
          <w:sz w:val="24"/>
          <w:szCs w:val="24"/>
          <w:lang w:val="en-US"/>
        </w:rPr>
        <w:t xml:space="preserve"> da </w:t>
      </w:r>
      <w:proofErr w:type="spellStart"/>
      <w:r w:rsidRPr="0036392F">
        <w:rPr>
          <w:i/>
          <w:sz w:val="24"/>
          <w:szCs w:val="24"/>
          <w:lang w:val="en-US"/>
        </w:rPr>
        <w:t>cidian</w:t>
      </w:r>
      <w:proofErr w:type="spellEnd"/>
      <w:r w:rsidRPr="0036392F">
        <w:rPr>
          <w:iCs/>
          <w:sz w:val="24"/>
          <w:szCs w:val="24"/>
          <w:lang w:val="en-US"/>
        </w:rPr>
        <w:t xml:space="preserve"> </w:t>
      </w:r>
      <w:r>
        <w:rPr>
          <w:iCs/>
          <w:sz w:val="24"/>
          <w:szCs w:val="24"/>
          <w:lang w:val="en-US"/>
        </w:rPr>
        <w:t>(</w:t>
      </w:r>
      <w:r w:rsidRPr="0036392F">
        <w:rPr>
          <w:iCs/>
          <w:sz w:val="24"/>
          <w:szCs w:val="24"/>
          <w:lang w:val="en-US"/>
        </w:rPr>
        <w:t>1994:</w:t>
      </w:r>
      <w:r w:rsidRPr="0036392F">
        <w:rPr>
          <w:sz w:val="24"/>
          <w:szCs w:val="24"/>
          <w:lang w:val="en-US"/>
        </w:rPr>
        <w:t xml:space="preserve"> 395</w:t>
      </w:r>
      <w:r>
        <w:rPr>
          <w:sz w:val="24"/>
          <w:szCs w:val="24"/>
          <w:lang w:val="en-US"/>
        </w:rPr>
        <w:t>)</w:t>
      </w:r>
      <w:r w:rsidRPr="0036392F">
        <w:rPr>
          <w:sz w:val="24"/>
          <w:szCs w:val="24"/>
          <w:lang w:val="en-US"/>
        </w:rPr>
        <w:t>.</w:t>
      </w:r>
    </w:p>
  </w:endnote>
  <w:endnote w:id="26">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Contrary to what one would expect, </w:t>
      </w:r>
      <w:proofErr w:type="spellStart"/>
      <w:r w:rsidRPr="0036392F">
        <w:rPr>
          <w:i/>
          <w:sz w:val="24"/>
          <w:szCs w:val="24"/>
          <w:lang w:val="en-US"/>
        </w:rPr>
        <w:t>omolo</w:t>
      </w:r>
      <w:proofErr w:type="spellEnd"/>
      <w:r w:rsidRPr="0036392F">
        <w:rPr>
          <w:sz w:val="24"/>
          <w:szCs w:val="24"/>
          <w:lang w:val="en-US"/>
        </w:rPr>
        <w:t xml:space="preserve"> is not used with a plural suffix (</w:t>
      </w:r>
      <w:proofErr w:type="spellStart"/>
      <w:r w:rsidRPr="0036392F">
        <w:rPr>
          <w:sz w:val="24"/>
          <w:szCs w:val="24"/>
          <w:lang w:val="en-US"/>
        </w:rPr>
        <w:t>Doerfer</w:t>
      </w:r>
      <w:proofErr w:type="spellEnd"/>
      <w:r w:rsidRPr="0036392F">
        <w:rPr>
          <w:sz w:val="24"/>
          <w:szCs w:val="24"/>
          <w:lang w:val="en-US"/>
        </w:rPr>
        <w:t xml:space="preserve"> 1963</w:t>
      </w:r>
      <w:r>
        <w:rPr>
          <w:sz w:val="24"/>
          <w:szCs w:val="24"/>
          <w:lang w:val="en-US"/>
        </w:rPr>
        <w:t>a</w:t>
      </w:r>
      <w:r w:rsidRPr="0036392F">
        <w:rPr>
          <w:sz w:val="24"/>
          <w:szCs w:val="24"/>
          <w:lang w:val="en-US"/>
        </w:rPr>
        <w:t>: 38-41).</w:t>
      </w:r>
    </w:p>
  </w:endnote>
  <w:endnote w:id="27">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w:t>
      </w:r>
      <w:r w:rsidRPr="0036392F">
        <w:rPr>
          <w:bCs/>
          <w:sz w:val="24"/>
          <w:szCs w:val="24"/>
          <w:lang w:val="en-US"/>
        </w:rPr>
        <w:t xml:space="preserve">This follows from the plural </w:t>
      </w:r>
      <w:proofErr w:type="spellStart"/>
      <w:r w:rsidRPr="0036392F">
        <w:rPr>
          <w:bCs/>
          <w:i/>
          <w:sz w:val="24"/>
          <w:szCs w:val="24"/>
          <w:lang w:val="en-US"/>
        </w:rPr>
        <w:t>gungju</w:t>
      </w:r>
      <w:proofErr w:type="spellEnd"/>
      <w:r w:rsidRPr="0036392F">
        <w:rPr>
          <w:bCs/>
          <w:i/>
          <w:sz w:val="24"/>
          <w:szCs w:val="24"/>
          <w:lang w:val="en-US"/>
        </w:rPr>
        <w:t xml:space="preserve"> se</w:t>
      </w:r>
      <w:r w:rsidRPr="0036392F">
        <w:rPr>
          <w:bCs/>
          <w:sz w:val="24"/>
          <w:szCs w:val="24"/>
          <w:lang w:val="en-US"/>
        </w:rPr>
        <w:t xml:space="preserve"> used earlier in the document.</w:t>
      </w:r>
    </w:p>
  </w:endnote>
  <w:endnote w:id="28">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Plain Yellow, Bordered Yellow and Plain White banner, which were the personal property of the emperor (Elliott 2001: 79, 404n147).</w:t>
      </w:r>
    </w:p>
  </w:endnote>
  <w:endnote w:id="29">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Imperial rescript in Manchu language to the memorial of the </w:t>
      </w:r>
      <w:proofErr w:type="spellStart"/>
      <w:r w:rsidRPr="0036392F">
        <w:rPr>
          <w:sz w:val="24"/>
          <w:szCs w:val="24"/>
          <w:lang w:val="en-US"/>
        </w:rPr>
        <w:t>Lifanyuan</w:t>
      </w:r>
      <w:proofErr w:type="spellEnd"/>
      <w:r w:rsidRPr="0036392F">
        <w:rPr>
          <w:sz w:val="24"/>
          <w:szCs w:val="24"/>
          <w:lang w:val="en-US"/>
        </w:rPr>
        <w:t xml:space="preserve"> of Shunzhi 16/intercalary3/24 (May 14</w:t>
      </w:r>
      <w:r w:rsidRPr="0036392F">
        <w:rPr>
          <w:sz w:val="24"/>
          <w:szCs w:val="24"/>
          <w:vertAlign w:val="superscript"/>
          <w:lang w:val="en-US"/>
        </w:rPr>
        <w:t>th</w:t>
      </w:r>
      <w:r w:rsidRPr="0036392F">
        <w:rPr>
          <w:sz w:val="24"/>
          <w:szCs w:val="24"/>
          <w:lang w:val="en-US"/>
        </w:rPr>
        <w:t xml:space="preserve">, 1659) in </w:t>
      </w:r>
      <w:r w:rsidR="006153FC">
        <w:rPr>
          <w:i/>
          <w:sz w:val="24"/>
          <w:szCs w:val="24"/>
          <w:lang w:val="en-US"/>
        </w:rPr>
        <w:t xml:space="preserve">Qing </w:t>
      </w:r>
      <w:proofErr w:type="spellStart"/>
      <w:r w:rsidR="006153FC">
        <w:rPr>
          <w:i/>
          <w:sz w:val="24"/>
          <w:szCs w:val="24"/>
          <w:lang w:val="en-US"/>
        </w:rPr>
        <w:t>chao</w:t>
      </w:r>
      <w:proofErr w:type="spellEnd"/>
      <w:r w:rsidR="006153FC">
        <w:rPr>
          <w:i/>
          <w:sz w:val="24"/>
          <w:szCs w:val="24"/>
          <w:lang w:val="en-US"/>
        </w:rPr>
        <w:t xml:space="preserve"> </w:t>
      </w:r>
      <w:proofErr w:type="spellStart"/>
      <w:r w:rsidR="006153FC">
        <w:rPr>
          <w:i/>
          <w:sz w:val="24"/>
          <w:szCs w:val="24"/>
          <w:lang w:val="en-US"/>
        </w:rPr>
        <w:t>qianqi</w:t>
      </w:r>
      <w:proofErr w:type="spellEnd"/>
      <w:r w:rsidR="006153FC">
        <w:rPr>
          <w:i/>
          <w:sz w:val="24"/>
          <w:szCs w:val="24"/>
          <w:lang w:val="en-US"/>
        </w:rPr>
        <w:t xml:space="preserve"> </w:t>
      </w:r>
      <w:proofErr w:type="spellStart"/>
      <w:r w:rsidR="006153FC">
        <w:rPr>
          <w:i/>
          <w:sz w:val="24"/>
          <w:szCs w:val="24"/>
          <w:lang w:val="en-US"/>
        </w:rPr>
        <w:t>Lifanyuan</w:t>
      </w:r>
      <w:proofErr w:type="spellEnd"/>
      <w:r w:rsidR="006153FC">
        <w:rPr>
          <w:i/>
          <w:sz w:val="24"/>
          <w:szCs w:val="24"/>
          <w:lang w:val="en-US"/>
        </w:rPr>
        <w:t xml:space="preserve"> </w:t>
      </w:r>
      <w:r>
        <w:rPr>
          <w:iCs/>
          <w:sz w:val="24"/>
          <w:szCs w:val="24"/>
          <w:lang w:val="en-US"/>
        </w:rPr>
        <w:t>(</w:t>
      </w:r>
      <w:r w:rsidRPr="0036392F">
        <w:rPr>
          <w:iCs/>
          <w:sz w:val="24"/>
          <w:szCs w:val="24"/>
          <w:lang w:val="en-US"/>
        </w:rPr>
        <w:t>2010: vol. 1, 217</w:t>
      </w:r>
      <w:r>
        <w:rPr>
          <w:iCs/>
          <w:sz w:val="24"/>
          <w:szCs w:val="24"/>
          <w:lang w:val="en-US"/>
        </w:rPr>
        <w:t>)</w:t>
      </w:r>
      <w:r w:rsidRPr="0036392F">
        <w:rPr>
          <w:iCs/>
          <w:sz w:val="24"/>
          <w:szCs w:val="24"/>
          <w:lang w:val="en-US"/>
        </w:rPr>
        <w:t>: (1</w:t>
      </w:r>
      <w:r w:rsidRPr="0036392F">
        <w:rPr>
          <w:sz w:val="24"/>
          <w:szCs w:val="24"/>
          <w:lang w:val="en-US"/>
        </w:rPr>
        <w:t xml:space="preserve">) </w:t>
      </w:r>
      <w:proofErr w:type="spellStart"/>
      <w:r w:rsidRPr="0036392F">
        <w:rPr>
          <w:i/>
          <w:sz w:val="24"/>
          <w:szCs w:val="24"/>
          <w:lang w:val="en-US"/>
        </w:rPr>
        <w:t>joriktu</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i/>
          <w:sz w:val="24"/>
          <w:szCs w:val="24"/>
          <w:lang w:val="en-US"/>
        </w:rPr>
        <w:t xml:space="preserve"> </w:t>
      </w:r>
      <w:proofErr w:type="spellStart"/>
      <w:r w:rsidRPr="0036392F">
        <w:rPr>
          <w:i/>
          <w:sz w:val="24"/>
          <w:szCs w:val="24"/>
          <w:lang w:val="en-US"/>
        </w:rPr>
        <w:t>baturu</w:t>
      </w:r>
      <w:proofErr w:type="spellEnd"/>
      <w:r w:rsidRPr="0036392F">
        <w:rPr>
          <w:i/>
          <w:sz w:val="24"/>
          <w:szCs w:val="24"/>
          <w:lang w:val="en-US"/>
        </w:rPr>
        <w:t xml:space="preserve"> </w:t>
      </w:r>
      <w:proofErr w:type="spellStart"/>
      <w:r w:rsidRPr="0036392F">
        <w:rPr>
          <w:i/>
          <w:sz w:val="24"/>
          <w:szCs w:val="24"/>
          <w:lang w:val="en-US"/>
        </w:rPr>
        <w:t>wang</w:t>
      </w:r>
      <w:proofErr w:type="spellEnd"/>
      <w:r w:rsidRPr="0036392F">
        <w:rPr>
          <w:i/>
          <w:sz w:val="24"/>
          <w:szCs w:val="24"/>
          <w:lang w:val="en-US"/>
        </w:rPr>
        <w:t xml:space="preserve"> be </w:t>
      </w:r>
      <w:proofErr w:type="spellStart"/>
      <w:r w:rsidRPr="0036392F">
        <w:rPr>
          <w:i/>
          <w:sz w:val="24"/>
          <w:szCs w:val="24"/>
          <w:lang w:val="en-US"/>
        </w:rPr>
        <w:t>niyamarame</w:t>
      </w:r>
      <w:proofErr w:type="spellEnd"/>
      <w:r w:rsidRPr="0036392F">
        <w:rPr>
          <w:i/>
          <w:sz w:val="24"/>
          <w:szCs w:val="24"/>
          <w:lang w:val="en-US"/>
        </w:rPr>
        <w:t xml:space="preserve"> </w:t>
      </w:r>
      <w:proofErr w:type="spellStart"/>
      <w:r w:rsidRPr="0036392F">
        <w:rPr>
          <w:i/>
          <w:sz w:val="24"/>
          <w:szCs w:val="24"/>
          <w:lang w:val="en-US"/>
        </w:rPr>
        <w:t>acaki</w:t>
      </w:r>
      <w:proofErr w:type="spellEnd"/>
      <w:r w:rsidRPr="0036392F">
        <w:rPr>
          <w:i/>
          <w:sz w:val="24"/>
          <w:szCs w:val="24"/>
          <w:lang w:val="en-US"/>
        </w:rPr>
        <w:t xml:space="preserve"> </w:t>
      </w:r>
      <w:r w:rsidRPr="0036392F">
        <w:rPr>
          <w:sz w:val="24"/>
          <w:szCs w:val="24"/>
          <w:lang w:val="en-US"/>
        </w:rPr>
        <w:t xml:space="preserve">(2) </w:t>
      </w:r>
      <w:proofErr w:type="spellStart"/>
      <w:r w:rsidRPr="0036392F">
        <w:rPr>
          <w:i/>
          <w:sz w:val="24"/>
          <w:szCs w:val="24"/>
          <w:lang w:val="en-US"/>
        </w:rPr>
        <w:t>seme</w:t>
      </w:r>
      <w:proofErr w:type="spellEnd"/>
      <w:r w:rsidRPr="0036392F">
        <w:rPr>
          <w:i/>
          <w:sz w:val="24"/>
          <w:szCs w:val="24"/>
          <w:lang w:val="en-US"/>
        </w:rPr>
        <w:t xml:space="preserve"> </w:t>
      </w:r>
      <w:proofErr w:type="spellStart"/>
      <w:r w:rsidRPr="0036392F">
        <w:rPr>
          <w:i/>
          <w:sz w:val="24"/>
          <w:szCs w:val="24"/>
          <w:lang w:val="en-US"/>
        </w:rPr>
        <w:t>jio</w:t>
      </w:r>
      <w:proofErr w:type="spellEnd"/>
      <w:r w:rsidRPr="0036392F">
        <w:rPr>
          <w:i/>
          <w:sz w:val="24"/>
          <w:szCs w:val="24"/>
          <w:lang w:val="en-US"/>
        </w:rPr>
        <w:t xml:space="preserve"> </w:t>
      </w:r>
      <w:proofErr w:type="spellStart"/>
      <w:r w:rsidRPr="0036392F">
        <w:rPr>
          <w:i/>
          <w:sz w:val="24"/>
          <w:szCs w:val="24"/>
          <w:lang w:val="en-US"/>
        </w:rPr>
        <w:t>seci</w:t>
      </w:r>
      <w:proofErr w:type="spellEnd"/>
      <w:r w:rsidRPr="0036392F">
        <w:rPr>
          <w:i/>
          <w:sz w:val="24"/>
          <w:szCs w:val="24"/>
          <w:lang w:val="en-US"/>
        </w:rPr>
        <w:t xml:space="preserve"> </w:t>
      </w:r>
      <w:proofErr w:type="spellStart"/>
      <w:r w:rsidRPr="0036392F">
        <w:rPr>
          <w:i/>
          <w:sz w:val="24"/>
          <w:szCs w:val="24"/>
          <w:lang w:val="en-US"/>
        </w:rPr>
        <w:t>hese</w:t>
      </w:r>
      <w:proofErr w:type="spellEnd"/>
      <w:r w:rsidRPr="0036392F">
        <w:rPr>
          <w:i/>
          <w:sz w:val="24"/>
          <w:szCs w:val="24"/>
          <w:lang w:val="en-US"/>
        </w:rPr>
        <w:t xml:space="preserve"> be </w:t>
      </w:r>
      <w:proofErr w:type="spellStart"/>
      <w:r w:rsidRPr="0036392F">
        <w:rPr>
          <w:i/>
          <w:sz w:val="24"/>
          <w:szCs w:val="24"/>
          <w:lang w:val="en-US"/>
        </w:rPr>
        <w:t>donjihai</w:t>
      </w:r>
      <w:proofErr w:type="spellEnd"/>
      <w:r w:rsidRPr="0036392F">
        <w:rPr>
          <w:i/>
          <w:sz w:val="24"/>
          <w:szCs w:val="24"/>
          <w:lang w:val="en-US"/>
        </w:rPr>
        <w:t xml:space="preserve"> </w:t>
      </w:r>
      <w:proofErr w:type="spellStart"/>
      <w:r w:rsidRPr="0036392F">
        <w:rPr>
          <w:i/>
          <w:sz w:val="24"/>
          <w:szCs w:val="24"/>
          <w:lang w:val="en-US"/>
        </w:rPr>
        <w:t>uthai</w:t>
      </w:r>
      <w:proofErr w:type="spellEnd"/>
      <w:r w:rsidRPr="0036392F">
        <w:rPr>
          <w:i/>
          <w:sz w:val="24"/>
          <w:szCs w:val="24"/>
          <w:lang w:val="en-US"/>
        </w:rPr>
        <w:t xml:space="preserve"> </w:t>
      </w:r>
      <w:proofErr w:type="spellStart"/>
      <w:r w:rsidRPr="0036392F">
        <w:rPr>
          <w:i/>
          <w:sz w:val="24"/>
          <w:szCs w:val="24"/>
          <w:lang w:val="en-US"/>
        </w:rPr>
        <w:t>jiderakū</w:t>
      </w:r>
      <w:proofErr w:type="spellEnd"/>
      <w:r w:rsidRPr="0036392F">
        <w:rPr>
          <w:sz w:val="24"/>
          <w:szCs w:val="24"/>
          <w:lang w:val="en-US"/>
        </w:rPr>
        <w:t xml:space="preserve"> (3) </w:t>
      </w:r>
      <w:proofErr w:type="spellStart"/>
      <w:r w:rsidRPr="0036392F">
        <w:rPr>
          <w:i/>
          <w:sz w:val="24"/>
          <w:szCs w:val="24"/>
          <w:lang w:val="en-US"/>
        </w:rPr>
        <w:t>yasa</w:t>
      </w:r>
      <w:proofErr w:type="spellEnd"/>
      <w:r w:rsidRPr="0036392F">
        <w:rPr>
          <w:i/>
          <w:sz w:val="24"/>
          <w:szCs w:val="24"/>
          <w:lang w:val="en-US"/>
        </w:rPr>
        <w:t xml:space="preserve"> de </w:t>
      </w:r>
      <w:proofErr w:type="spellStart"/>
      <w:r w:rsidRPr="0036392F">
        <w:rPr>
          <w:i/>
          <w:sz w:val="24"/>
          <w:szCs w:val="24"/>
          <w:lang w:val="en-US"/>
        </w:rPr>
        <w:t>fafun</w:t>
      </w:r>
      <w:proofErr w:type="spellEnd"/>
      <w:r w:rsidRPr="0036392F">
        <w:rPr>
          <w:i/>
          <w:sz w:val="24"/>
          <w:szCs w:val="24"/>
          <w:lang w:val="en-US"/>
        </w:rPr>
        <w:t xml:space="preserve"> </w:t>
      </w:r>
      <w:proofErr w:type="spellStart"/>
      <w:r w:rsidRPr="0036392F">
        <w:rPr>
          <w:i/>
          <w:sz w:val="24"/>
          <w:szCs w:val="24"/>
          <w:lang w:val="en-US"/>
        </w:rPr>
        <w:t>akū</w:t>
      </w:r>
      <w:proofErr w:type="spellEnd"/>
      <w:r w:rsidRPr="0036392F">
        <w:rPr>
          <w:i/>
          <w:sz w:val="24"/>
          <w:szCs w:val="24"/>
          <w:lang w:val="en-US"/>
        </w:rPr>
        <w:t xml:space="preserve"> </w:t>
      </w:r>
      <w:proofErr w:type="spellStart"/>
      <w:r w:rsidRPr="0036392F">
        <w:rPr>
          <w:i/>
          <w:sz w:val="24"/>
          <w:szCs w:val="24"/>
          <w:lang w:val="en-US"/>
        </w:rPr>
        <w:t>adali</w:t>
      </w:r>
      <w:proofErr w:type="spellEnd"/>
      <w:r w:rsidRPr="0036392F">
        <w:rPr>
          <w:i/>
          <w:sz w:val="24"/>
          <w:szCs w:val="24"/>
          <w:lang w:val="en-US"/>
        </w:rPr>
        <w:t xml:space="preserve"> </w:t>
      </w:r>
      <w:proofErr w:type="spellStart"/>
      <w:r w:rsidRPr="0036392F">
        <w:rPr>
          <w:i/>
          <w:sz w:val="24"/>
          <w:szCs w:val="24"/>
          <w:lang w:val="en-US"/>
        </w:rPr>
        <w:t>bulcame</w:t>
      </w:r>
      <w:proofErr w:type="spellEnd"/>
      <w:r w:rsidRPr="0036392F">
        <w:rPr>
          <w:i/>
          <w:sz w:val="24"/>
          <w:szCs w:val="24"/>
          <w:lang w:val="en-US"/>
        </w:rPr>
        <w:t xml:space="preserve"> </w:t>
      </w:r>
      <w:proofErr w:type="spellStart"/>
      <w:r w:rsidRPr="0036392F">
        <w:rPr>
          <w:i/>
          <w:sz w:val="24"/>
          <w:szCs w:val="24"/>
          <w:lang w:val="en-US"/>
        </w:rPr>
        <w:t>siltahangge</w:t>
      </w:r>
      <w:proofErr w:type="spellEnd"/>
      <w:r w:rsidRPr="0036392F">
        <w:rPr>
          <w:i/>
          <w:sz w:val="24"/>
          <w:szCs w:val="24"/>
          <w:lang w:val="en-US"/>
        </w:rPr>
        <w:t xml:space="preserve"> </w:t>
      </w:r>
      <w:r w:rsidRPr="0036392F">
        <w:rPr>
          <w:sz w:val="24"/>
          <w:szCs w:val="24"/>
          <w:lang w:val="en-US"/>
        </w:rPr>
        <w:t xml:space="preserve">(4) </w:t>
      </w:r>
      <w:proofErr w:type="spellStart"/>
      <w:r w:rsidRPr="0036392F">
        <w:rPr>
          <w:i/>
          <w:sz w:val="24"/>
          <w:szCs w:val="24"/>
          <w:lang w:val="en-US"/>
        </w:rPr>
        <w:t>ambula</w:t>
      </w:r>
      <w:proofErr w:type="spellEnd"/>
      <w:r w:rsidRPr="0036392F">
        <w:rPr>
          <w:i/>
          <w:sz w:val="24"/>
          <w:szCs w:val="24"/>
          <w:lang w:val="en-US"/>
        </w:rPr>
        <w:t xml:space="preserve"> </w:t>
      </w:r>
      <w:proofErr w:type="spellStart"/>
      <w:r w:rsidRPr="0036392F">
        <w:rPr>
          <w:i/>
          <w:sz w:val="24"/>
          <w:szCs w:val="24"/>
          <w:lang w:val="en-US"/>
        </w:rPr>
        <w:t>giyan</w:t>
      </w:r>
      <w:proofErr w:type="spellEnd"/>
      <w:r w:rsidRPr="0036392F">
        <w:rPr>
          <w:i/>
          <w:sz w:val="24"/>
          <w:szCs w:val="24"/>
          <w:lang w:val="en-US"/>
        </w:rPr>
        <w:t xml:space="preserve"> de </w:t>
      </w:r>
      <w:proofErr w:type="spellStart"/>
      <w:r w:rsidRPr="0036392F">
        <w:rPr>
          <w:i/>
          <w:sz w:val="24"/>
          <w:szCs w:val="24"/>
          <w:lang w:val="en-US"/>
        </w:rPr>
        <w:t>acahakūbi</w:t>
      </w:r>
      <w:proofErr w:type="spellEnd"/>
      <w:r w:rsidRPr="0036392F">
        <w:rPr>
          <w:i/>
          <w:sz w:val="24"/>
          <w:szCs w:val="24"/>
          <w:lang w:val="en-US"/>
        </w:rPr>
        <w:t xml:space="preserve"> : </w:t>
      </w:r>
      <w:proofErr w:type="spellStart"/>
      <w:r w:rsidRPr="0036392F">
        <w:rPr>
          <w:i/>
          <w:sz w:val="24"/>
          <w:szCs w:val="24"/>
          <w:lang w:val="en-US"/>
        </w:rPr>
        <w:t>suweni</w:t>
      </w:r>
      <w:proofErr w:type="spellEnd"/>
      <w:r w:rsidRPr="0036392F">
        <w:rPr>
          <w:i/>
          <w:sz w:val="24"/>
          <w:szCs w:val="24"/>
          <w:lang w:val="en-US"/>
        </w:rPr>
        <w:t xml:space="preserve"> </w:t>
      </w:r>
      <w:proofErr w:type="spellStart"/>
      <w:r w:rsidRPr="0036392F">
        <w:rPr>
          <w:i/>
          <w:sz w:val="24"/>
          <w:szCs w:val="24"/>
          <w:lang w:val="en-US"/>
        </w:rPr>
        <w:t>jurgan</w:t>
      </w:r>
      <w:proofErr w:type="spellEnd"/>
      <w:r w:rsidRPr="0036392F">
        <w:rPr>
          <w:i/>
          <w:sz w:val="24"/>
          <w:szCs w:val="24"/>
          <w:lang w:val="en-US"/>
        </w:rPr>
        <w:t xml:space="preserve"> . </w:t>
      </w:r>
      <w:proofErr w:type="spellStart"/>
      <w:r w:rsidRPr="0036392F">
        <w:rPr>
          <w:i/>
          <w:sz w:val="24"/>
          <w:szCs w:val="24"/>
          <w:lang w:val="en-US"/>
        </w:rPr>
        <w:t>ilan</w:t>
      </w:r>
      <w:proofErr w:type="spellEnd"/>
      <w:r w:rsidRPr="0036392F">
        <w:rPr>
          <w:sz w:val="24"/>
          <w:szCs w:val="24"/>
          <w:lang w:val="en-US"/>
        </w:rPr>
        <w:t xml:space="preserve"> (5) </w:t>
      </w:r>
      <w:proofErr w:type="spellStart"/>
      <w:r w:rsidRPr="0036392F">
        <w:rPr>
          <w:i/>
          <w:sz w:val="24"/>
          <w:szCs w:val="24"/>
          <w:lang w:val="en-US"/>
        </w:rPr>
        <w:t>gūsai</w:t>
      </w:r>
      <w:proofErr w:type="spellEnd"/>
      <w:r w:rsidRPr="0036392F">
        <w:rPr>
          <w:i/>
          <w:sz w:val="24"/>
          <w:szCs w:val="24"/>
          <w:lang w:val="en-US"/>
        </w:rPr>
        <w:t xml:space="preserve"> </w:t>
      </w:r>
      <w:proofErr w:type="spellStart"/>
      <w:r w:rsidRPr="0036392F">
        <w:rPr>
          <w:i/>
          <w:sz w:val="24"/>
          <w:szCs w:val="24"/>
          <w:lang w:val="en-US"/>
        </w:rPr>
        <w:t>hebei</w:t>
      </w:r>
      <w:proofErr w:type="spellEnd"/>
      <w:r w:rsidRPr="0036392F">
        <w:rPr>
          <w:i/>
          <w:sz w:val="24"/>
          <w:szCs w:val="24"/>
          <w:lang w:val="en-US"/>
        </w:rPr>
        <w:t xml:space="preserve"> </w:t>
      </w:r>
      <w:proofErr w:type="spellStart"/>
      <w:r w:rsidRPr="0036392F">
        <w:rPr>
          <w:i/>
          <w:sz w:val="24"/>
          <w:szCs w:val="24"/>
          <w:lang w:val="en-US"/>
        </w:rPr>
        <w:t>ambasai</w:t>
      </w:r>
      <w:proofErr w:type="spellEnd"/>
      <w:r w:rsidRPr="0036392F">
        <w:rPr>
          <w:i/>
          <w:sz w:val="24"/>
          <w:szCs w:val="24"/>
          <w:lang w:val="en-US"/>
        </w:rPr>
        <w:t xml:space="preserve"> </w:t>
      </w:r>
      <w:proofErr w:type="spellStart"/>
      <w:r w:rsidRPr="0036392F">
        <w:rPr>
          <w:i/>
          <w:sz w:val="24"/>
          <w:szCs w:val="24"/>
          <w:lang w:val="en-US"/>
        </w:rPr>
        <w:t>emgi</w:t>
      </w:r>
      <w:proofErr w:type="spellEnd"/>
      <w:r w:rsidRPr="0036392F">
        <w:rPr>
          <w:i/>
          <w:sz w:val="24"/>
          <w:szCs w:val="24"/>
          <w:lang w:val="en-US"/>
        </w:rPr>
        <w:t xml:space="preserve"> </w:t>
      </w:r>
      <w:proofErr w:type="spellStart"/>
      <w:r w:rsidRPr="0036392F">
        <w:rPr>
          <w:i/>
          <w:sz w:val="24"/>
          <w:szCs w:val="24"/>
          <w:lang w:val="en-US"/>
        </w:rPr>
        <w:t>acafi</w:t>
      </w:r>
      <w:proofErr w:type="spellEnd"/>
      <w:r w:rsidRPr="0036392F">
        <w:rPr>
          <w:i/>
          <w:sz w:val="24"/>
          <w:szCs w:val="24"/>
          <w:lang w:val="en-US"/>
        </w:rPr>
        <w:t xml:space="preserve"> </w:t>
      </w:r>
      <w:proofErr w:type="spellStart"/>
      <w:r w:rsidRPr="0036392F">
        <w:rPr>
          <w:i/>
          <w:sz w:val="24"/>
          <w:szCs w:val="24"/>
          <w:lang w:val="en-US"/>
        </w:rPr>
        <w:t>gisurefi</w:t>
      </w:r>
      <w:proofErr w:type="spellEnd"/>
      <w:r w:rsidRPr="0036392F">
        <w:rPr>
          <w:i/>
          <w:sz w:val="24"/>
          <w:szCs w:val="24"/>
          <w:lang w:val="en-US"/>
        </w:rPr>
        <w:t xml:space="preserve"> </w:t>
      </w:r>
      <w:proofErr w:type="spellStart"/>
      <w:r w:rsidRPr="0036392F">
        <w:rPr>
          <w:i/>
          <w:sz w:val="24"/>
          <w:szCs w:val="24"/>
          <w:lang w:val="en-US"/>
        </w:rPr>
        <w:t>wesimbu</w:t>
      </w:r>
      <w:proofErr w:type="spellEnd"/>
      <w:r w:rsidRPr="0036392F">
        <w:rPr>
          <w:i/>
          <w:sz w:val="24"/>
          <w:szCs w:val="24"/>
          <w:lang w:val="en-US"/>
        </w:rPr>
        <w:t xml:space="preserve"> :</w:t>
      </w:r>
      <w:r w:rsidRPr="0036392F">
        <w:rPr>
          <w:sz w:val="24"/>
          <w:szCs w:val="24"/>
          <w:lang w:val="en-US"/>
        </w:rPr>
        <w:t xml:space="preserve"> (6) </w:t>
      </w:r>
      <w:proofErr w:type="spellStart"/>
      <w:r w:rsidRPr="0036392F">
        <w:rPr>
          <w:i/>
          <w:sz w:val="24"/>
          <w:szCs w:val="24"/>
          <w:lang w:val="en-US"/>
        </w:rPr>
        <w:t>wang</w:t>
      </w:r>
      <w:proofErr w:type="spellEnd"/>
      <w:r w:rsidRPr="0036392F">
        <w:rPr>
          <w:i/>
          <w:sz w:val="24"/>
          <w:szCs w:val="24"/>
          <w:lang w:val="en-US"/>
        </w:rPr>
        <w:t xml:space="preserve"> </w:t>
      </w:r>
      <w:proofErr w:type="spellStart"/>
      <w:r w:rsidRPr="0036392F">
        <w:rPr>
          <w:i/>
          <w:sz w:val="24"/>
          <w:szCs w:val="24"/>
          <w:lang w:val="en-US"/>
        </w:rPr>
        <w:t>sa</w:t>
      </w:r>
      <w:proofErr w:type="spellEnd"/>
      <w:r w:rsidRPr="0036392F">
        <w:rPr>
          <w:i/>
          <w:sz w:val="24"/>
          <w:szCs w:val="24"/>
          <w:lang w:val="en-US"/>
        </w:rPr>
        <w:t xml:space="preserve"> be </w:t>
      </w:r>
      <w:proofErr w:type="spellStart"/>
      <w:r w:rsidRPr="0036392F">
        <w:rPr>
          <w:i/>
          <w:sz w:val="24"/>
          <w:szCs w:val="24"/>
          <w:lang w:val="en-US"/>
        </w:rPr>
        <w:t>ubade</w:t>
      </w:r>
      <w:proofErr w:type="spellEnd"/>
      <w:r w:rsidRPr="0036392F">
        <w:rPr>
          <w:i/>
          <w:sz w:val="24"/>
          <w:szCs w:val="24"/>
          <w:lang w:val="en-US"/>
        </w:rPr>
        <w:t xml:space="preserve"> </w:t>
      </w:r>
      <w:proofErr w:type="spellStart"/>
      <w:r w:rsidRPr="0036392F">
        <w:rPr>
          <w:i/>
          <w:sz w:val="24"/>
          <w:szCs w:val="24"/>
          <w:lang w:val="en-US"/>
        </w:rPr>
        <w:t>gajira</w:t>
      </w:r>
      <w:proofErr w:type="spellEnd"/>
      <w:r w:rsidRPr="0036392F">
        <w:rPr>
          <w:i/>
          <w:sz w:val="24"/>
          <w:szCs w:val="24"/>
          <w:lang w:val="en-US"/>
        </w:rPr>
        <w:t xml:space="preserve"> be </w:t>
      </w:r>
      <w:proofErr w:type="spellStart"/>
      <w:r w:rsidRPr="0036392F">
        <w:rPr>
          <w:i/>
          <w:sz w:val="24"/>
          <w:szCs w:val="24"/>
          <w:lang w:val="en-US"/>
        </w:rPr>
        <w:t>naka</w:t>
      </w:r>
      <w:proofErr w:type="spellEnd"/>
      <w:r w:rsidRPr="0036392F">
        <w:rPr>
          <w:i/>
          <w:sz w:val="24"/>
          <w:szCs w:val="24"/>
          <w:lang w:val="en-US"/>
        </w:rPr>
        <w:t xml:space="preserve"> :</w:t>
      </w:r>
    </w:p>
  </w:endnote>
  <w:endnote w:id="30">
    <w:p w:rsidR="00106337" w:rsidRPr="0036392F" w:rsidRDefault="00106337">
      <w:pPr>
        <w:pStyle w:val="Endnotentext"/>
        <w:rPr>
          <w:sz w:val="24"/>
          <w:szCs w:val="24"/>
          <w:lang w:val="en-US"/>
        </w:rPr>
      </w:pPr>
      <w:r w:rsidRPr="0036392F">
        <w:rPr>
          <w:rStyle w:val="Endnotenzeichen"/>
          <w:sz w:val="24"/>
          <w:szCs w:val="24"/>
        </w:rPr>
        <w:endnoteRef/>
      </w:r>
      <w:r w:rsidRPr="0036392F">
        <w:rPr>
          <w:sz w:val="24"/>
          <w:szCs w:val="24"/>
          <w:lang w:val="en-US"/>
        </w:rPr>
        <w:t xml:space="preserve"> For example the Mongol Code (in Chinese </w:t>
      </w:r>
      <w:proofErr w:type="spellStart"/>
      <w:r w:rsidRPr="0036392F">
        <w:rPr>
          <w:i/>
          <w:iCs/>
          <w:sz w:val="24"/>
          <w:szCs w:val="24"/>
          <w:lang w:val="en-US"/>
        </w:rPr>
        <w:t>Menggu</w:t>
      </w:r>
      <w:proofErr w:type="spellEnd"/>
      <w:r w:rsidRPr="0036392F">
        <w:rPr>
          <w:i/>
          <w:iCs/>
          <w:sz w:val="24"/>
          <w:szCs w:val="24"/>
          <w:lang w:val="en-US"/>
        </w:rPr>
        <w:t xml:space="preserve"> </w:t>
      </w:r>
      <w:proofErr w:type="spellStart"/>
      <w:r w:rsidRPr="0036392F">
        <w:rPr>
          <w:i/>
          <w:iCs/>
          <w:sz w:val="24"/>
          <w:szCs w:val="24"/>
          <w:lang w:val="en-US"/>
        </w:rPr>
        <w:t>Lüli</w:t>
      </w:r>
      <w:proofErr w:type="spellEnd"/>
      <w:r w:rsidRPr="0036392F">
        <w:rPr>
          <w:sz w:val="24"/>
          <w:szCs w:val="24"/>
          <w:lang w:val="en-US"/>
        </w:rPr>
        <w:t xml:space="preserve">) and compendia of institutional practice such as the </w:t>
      </w:r>
      <w:proofErr w:type="spellStart"/>
      <w:r w:rsidRPr="0036392F">
        <w:rPr>
          <w:i/>
          <w:iCs/>
          <w:sz w:val="24"/>
          <w:szCs w:val="24"/>
          <w:lang w:val="en-US"/>
        </w:rPr>
        <w:t>Lifanyuan</w:t>
      </w:r>
      <w:proofErr w:type="spellEnd"/>
      <w:r w:rsidRPr="0036392F">
        <w:rPr>
          <w:i/>
          <w:iCs/>
          <w:sz w:val="24"/>
          <w:szCs w:val="24"/>
          <w:lang w:val="en-US"/>
        </w:rPr>
        <w:t xml:space="preserve"> </w:t>
      </w:r>
      <w:proofErr w:type="spellStart"/>
      <w:r w:rsidRPr="0036392F">
        <w:rPr>
          <w:i/>
          <w:iCs/>
          <w:sz w:val="24"/>
          <w:szCs w:val="24"/>
          <w:lang w:val="en-US"/>
        </w:rPr>
        <w:t>zeli</w:t>
      </w:r>
      <w:proofErr w:type="spellEnd"/>
      <w:r w:rsidRPr="0036392F">
        <w:rPr>
          <w:sz w:val="24"/>
          <w:szCs w:val="24"/>
          <w:lang w:val="en-US"/>
        </w:rPr>
        <w:t xml:space="preserve"> and the </w:t>
      </w:r>
      <w:r w:rsidRPr="0036392F">
        <w:rPr>
          <w:i/>
          <w:iCs/>
          <w:sz w:val="24"/>
          <w:szCs w:val="24"/>
          <w:lang w:val="en-US"/>
        </w:rPr>
        <w:t xml:space="preserve">Da Qing </w:t>
      </w:r>
      <w:proofErr w:type="spellStart"/>
      <w:r w:rsidRPr="0036392F">
        <w:rPr>
          <w:i/>
          <w:iCs/>
          <w:sz w:val="24"/>
          <w:szCs w:val="24"/>
          <w:lang w:val="en-US"/>
        </w:rPr>
        <w:t>Huidian</w:t>
      </w:r>
      <w:proofErr w:type="spellEnd"/>
      <w:r w:rsidRPr="0036392F">
        <w:rPr>
          <w:i/>
          <w:iCs/>
          <w:sz w:val="24"/>
          <w:szCs w:val="24"/>
          <w:lang w:val="en-US"/>
        </w:rPr>
        <w:t>.</w:t>
      </w:r>
    </w:p>
  </w:endnote>
  <w:endnote w:id="31">
    <w:p w:rsidR="00106337" w:rsidRPr="0036392F" w:rsidRDefault="00106337">
      <w:pPr>
        <w:pStyle w:val="Endnotentext"/>
        <w:rPr>
          <w:sz w:val="24"/>
          <w:szCs w:val="24"/>
        </w:rPr>
      </w:pPr>
      <w:r w:rsidRPr="0036392F">
        <w:rPr>
          <w:rStyle w:val="Endnotenzeichen"/>
          <w:sz w:val="24"/>
          <w:szCs w:val="24"/>
        </w:rPr>
        <w:endnoteRef/>
      </w:r>
      <w:r w:rsidRPr="0036392F">
        <w:rPr>
          <w:sz w:val="24"/>
          <w:szCs w:val="24"/>
          <w:lang w:val="en-US"/>
        </w:rPr>
        <w:t xml:space="preserve"> In case of the </w:t>
      </w:r>
      <w:proofErr w:type="spellStart"/>
      <w:r w:rsidRPr="0036392F">
        <w:rPr>
          <w:sz w:val="24"/>
          <w:szCs w:val="24"/>
          <w:lang w:val="en-US"/>
        </w:rPr>
        <w:t>Qalqa</w:t>
      </w:r>
      <w:proofErr w:type="spellEnd"/>
      <w:r w:rsidRPr="0036392F">
        <w:rPr>
          <w:sz w:val="24"/>
          <w:szCs w:val="24"/>
          <w:lang w:val="en-US"/>
        </w:rPr>
        <w:t xml:space="preserve"> Mongols, these were the Military Governor in </w:t>
      </w:r>
      <w:proofErr w:type="spellStart"/>
      <w:r w:rsidRPr="0036392F">
        <w:rPr>
          <w:sz w:val="24"/>
          <w:szCs w:val="24"/>
          <w:lang w:val="en-US"/>
        </w:rPr>
        <w:t>Uliasutai</w:t>
      </w:r>
      <w:proofErr w:type="spellEnd"/>
      <w:r w:rsidRPr="0036392F">
        <w:rPr>
          <w:sz w:val="24"/>
          <w:szCs w:val="24"/>
          <w:lang w:val="en-US"/>
        </w:rPr>
        <w:t xml:space="preserve"> and the Governors stationed in </w:t>
      </w:r>
      <w:proofErr w:type="spellStart"/>
      <w:r w:rsidRPr="0036392F">
        <w:rPr>
          <w:sz w:val="24"/>
          <w:szCs w:val="24"/>
          <w:lang w:val="en-US"/>
        </w:rPr>
        <w:t>Ikh</w:t>
      </w:r>
      <w:proofErr w:type="spellEnd"/>
      <w:r w:rsidRPr="0036392F">
        <w:rPr>
          <w:sz w:val="24"/>
          <w:szCs w:val="24"/>
          <w:lang w:val="en-US"/>
        </w:rPr>
        <w:t xml:space="preserve"> </w:t>
      </w:r>
      <w:proofErr w:type="spellStart"/>
      <w:r w:rsidRPr="0036392F">
        <w:rPr>
          <w:sz w:val="24"/>
          <w:szCs w:val="24"/>
          <w:lang w:val="en-US"/>
        </w:rPr>
        <w:t>Khuree</w:t>
      </w:r>
      <w:proofErr w:type="spellEnd"/>
      <w:r w:rsidRPr="0036392F">
        <w:rPr>
          <w:sz w:val="24"/>
          <w:szCs w:val="24"/>
          <w:lang w:val="en-US"/>
        </w:rPr>
        <w:t xml:space="preserve"> (</w:t>
      </w:r>
      <w:proofErr w:type="spellStart"/>
      <w:r w:rsidRPr="0036392F">
        <w:rPr>
          <w:sz w:val="24"/>
          <w:szCs w:val="24"/>
          <w:lang w:val="en-US"/>
        </w:rPr>
        <w:t>Urga</w:t>
      </w:r>
      <w:proofErr w:type="spellEnd"/>
      <w:r w:rsidRPr="0036392F">
        <w:rPr>
          <w:sz w:val="24"/>
          <w:szCs w:val="24"/>
          <w:lang w:val="en-US"/>
        </w:rPr>
        <w:t xml:space="preserve">) and in </w:t>
      </w:r>
      <w:proofErr w:type="spellStart"/>
      <w:r w:rsidRPr="0036392F">
        <w:rPr>
          <w:sz w:val="24"/>
          <w:szCs w:val="24"/>
          <w:lang w:val="en-US"/>
        </w:rPr>
        <w:t>Khovd</w:t>
      </w:r>
      <w:proofErr w:type="spellEnd"/>
      <w:r w:rsidRPr="0036392F">
        <w:rPr>
          <w:sz w:val="24"/>
          <w:szCs w:val="24"/>
          <w:lang w:val="en-US"/>
        </w:rPr>
        <w:t xml:space="preserve">. Among the Southern Mongols, the Governor General of </w:t>
      </w:r>
      <w:proofErr w:type="spellStart"/>
      <w:r w:rsidRPr="0036392F">
        <w:rPr>
          <w:sz w:val="24"/>
          <w:szCs w:val="24"/>
          <w:lang w:val="en-US"/>
        </w:rPr>
        <w:t>Suiyuan</w:t>
      </w:r>
      <w:proofErr w:type="spellEnd"/>
      <w:r w:rsidRPr="0036392F">
        <w:rPr>
          <w:sz w:val="24"/>
          <w:szCs w:val="24"/>
          <w:lang w:val="en-US"/>
        </w:rPr>
        <w:t xml:space="preserve"> (Hohhot) and the </w:t>
      </w:r>
      <w:proofErr w:type="spellStart"/>
      <w:r w:rsidRPr="0036392F">
        <w:rPr>
          <w:sz w:val="24"/>
          <w:szCs w:val="24"/>
          <w:lang w:val="en-US"/>
        </w:rPr>
        <w:t>Čaqar</w:t>
      </w:r>
      <w:proofErr w:type="spellEnd"/>
      <w:r w:rsidRPr="0036392F">
        <w:rPr>
          <w:sz w:val="24"/>
          <w:szCs w:val="24"/>
          <w:lang w:val="en-US"/>
        </w:rPr>
        <w:t xml:space="preserve"> and </w:t>
      </w:r>
      <w:proofErr w:type="spellStart"/>
      <w:r w:rsidRPr="0036392F">
        <w:rPr>
          <w:sz w:val="24"/>
          <w:szCs w:val="24"/>
          <w:lang w:val="en-US"/>
        </w:rPr>
        <w:t>Jehol</w:t>
      </w:r>
      <w:proofErr w:type="spellEnd"/>
      <w:r w:rsidRPr="0036392F">
        <w:rPr>
          <w:sz w:val="24"/>
          <w:szCs w:val="24"/>
          <w:lang w:val="en-US"/>
        </w:rPr>
        <w:t xml:space="preserve"> commanders-in-chief in addition to military duties were also entrusted with legal affairs. (Zhao 2002: 291-316; </w:t>
      </w:r>
      <w:proofErr w:type="spellStart"/>
      <w:r w:rsidRPr="0036392F">
        <w:rPr>
          <w:sz w:val="24"/>
          <w:szCs w:val="24"/>
          <w:lang w:val="en-US"/>
        </w:rPr>
        <w:t>Brunnert</w:t>
      </w:r>
      <w:proofErr w:type="spellEnd"/>
      <w:r w:rsidRPr="0036392F">
        <w:rPr>
          <w:sz w:val="24"/>
          <w:szCs w:val="24"/>
          <w:lang w:val="en-US"/>
        </w:rPr>
        <w:t>/</w:t>
      </w:r>
      <w:proofErr w:type="spellStart"/>
      <w:r w:rsidRPr="0036392F">
        <w:rPr>
          <w:sz w:val="24"/>
          <w:szCs w:val="24"/>
          <w:lang w:val="en-US"/>
        </w:rPr>
        <w:t>Hagelstrom</w:t>
      </w:r>
      <w:proofErr w:type="spellEnd"/>
      <w:r w:rsidRPr="0036392F">
        <w:rPr>
          <w:sz w:val="24"/>
          <w:szCs w:val="24"/>
          <w:lang w:val="en-US"/>
        </w:rPr>
        <w:t xml:space="preserve"> 1911: 452-462).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5A9o00">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7436"/>
      <w:docPartObj>
        <w:docPartGallery w:val="Page Numbers (Bottom of Page)"/>
        <w:docPartUnique/>
      </w:docPartObj>
    </w:sdtPr>
    <w:sdtEndPr/>
    <w:sdtContent>
      <w:p w:rsidR="00106337" w:rsidRDefault="00EF6FB1">
        <w:pPr>
          <w:pStyle w:val="Fuzeile"/>
          <w:jc w:val="center"/>
        </w:pPr>
        <w:r>
          <w:fldChar w:fldCharType="begin"/>
        </w:r>
        <w:r>
          <w:instrText xml:space="preserve"> PAGE   \* MERGEFORMAT </w:instrText>
        </w:r>
        <w:r>
          <w:fldChar w:fldCharType="separate"/>
        </w:r>
        <w:r w:rsidR="00032DB0">
          <w:rPr>
            <w:noProof/>
          </w:rPr>
          <w:t>1</w:t>
        </w:r>
        <w:r>
          <w:rPr>
            <w:noProof/>
          </w:rPr>
          <w:fldChar w:fldCharType="end"/>
        </w:r>
      </w:p>
    </w:sdtContent>
  </w:sdt>
  <w:p w:rsidR="00106337" w:rsidRDefault="001063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3D" w:rsidRDefault="00F4493D" w:rsidP="007F791E">
      <w:r>
        <w:separator/>
      </w:r>
    </w:p>
  </w:footnote>
  <w:footnote w:type="continuationSeparator" w:id="0">
    <w:p w:rsidR="00F4493D" w:rsidRDefault="00F4493D" w:rsidP="007F7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BD4682"/>
    <w:rsid w:val="00001E81"/>
    <w:rsid w:val="00002272"/>
    <w:rsid w:val="00003B22"/>
    <w:rsid w:val="0000430D"/>
    <w:rsid w:val="00005C0A"/>
    <w:rsid w:val="000062F4"/>
    <w:rsid w:val="00006F29"/>
    <w:rsid w:val="00010371"/>
    <w:rsid w:val="00010CF3"/>
    <w:rsid w:val="00011A54"/>
    <w:rsid w:val="00015A1F"/>
    <w:rsid w:val="00015BD3"/>
    <w:rsid w:val="000161BE"/>
    <w:rsid w:val="00022FC7"/>
    <w:rsid w:val="00023437"/>
    <w:rsid w:val="000261D6"/>
    <w:rsid w:val="000267CF"/>
    <w:rsid w:val="00026E55"/>
    <w:rsid w:val="00026E75"/>
    <w:rsid w:val="000315AB"/>
    <w:rsid w:val="00031E0F"/>
    <w:rsid w:val="00032DB0"/>
    <w:rsid w:val="00032E61"/>
    <w:rsid w:val="0003303B"/>
    <w:rsid w:val="00033534"/>
    <w:rsid w:val="000368F5"/>
    <w:rsid w:val="00037EC3"/>
    <w:rsid w:val="000415C1"/>
    <w:rsid w:val="00041A4B"/>
    <w:rsid w:val="00043462"/>
    <w:rsid w:val="00043A11"/>
    <w:rsid w:val="00044123"/>
    <w:rsid w:val="000449F7"/>
    <w:rsid w:val="00045D93"/>
    <w:rsid w:val="000460B6"/>
    <w:rsid w:val="0005182E"/>
    <w:rsid w:val="000528B9"/>
    <w:rsid w:val="00052B1A"/>
    <w:rsid w:val="000564F1"/>
    <w:rsid w:val="00056B5B"/>
    <w:rsid w:val="000574C5"/>
    <w:rsid w:val="0006202E"/>
    <w:rsid w:val="00062B6E"/>
    <w:rsid w:val="000631A1"/>
    <w:rsid w:val="00063476"/>
    <w:rsid w:val="00063952"/>
    <w:rsid w:val="00064A60"/>
    <w:rsid w:val="00064E24"/>
    <w:rsid w:val="0006629B"/>
    <w:rsid w:val="00066EBD"/>
    <w:rsid w:val="0006778E"/>
    <w:rsid w:val="00067EA5"/>
    <w:rsid w:val="00070043"/>
    <w:rsid w:val="00071B4C"/>
    <w:rsid w:val="00072176"/>
    <w:rsid w:val="000722DC"/>
    <w:rsid w:val="00072380"/>
    <w:rsid w:val="000742F5"/>
    <w:rsid w:val="000757F1"/>
    <w:rsid w:val="0007656F"/>
    <w:rsid w:val="00076C8C"/>
    <w:rsid w:val="00080A8B"/>
    <w:rsid w:val="000810A2"/>
    <w:rsid w:val="0008311A"/>
    <w:rsid w:val="00083290"/>
    <w:rsid w:val="00083831"/>
    <w:rsid w:val="00084375"/>
    <w:rsid w:val="000853A7"/>
    <w:rsid w:val="00085D2A"/>
    <w:rsid w:val="00087096"/>
    <w:rsid w:val="00096421"/>
    <w:rsid w:val="000A18FE"/>
    <w:rsid w:val="000A219D"/>
    <w:rsid w:val="000A2379"/>
    <w:rsid w:val="000A289D"/>
    <w:rsid w:val="000A3944"/>
    <w:rsid w:val="000A402C"/>
    <w:rsid w:val="000A5DE6"/>
    <w:rsid w:val="000A7CCA"/>
    <w:rsid w:val="000B098B"/>
    <w:rsid w:val="000B0BCE"/>
    <w:rsid w:val="000B101D"/>
    <w:rsid w:val="000B400C"/>
    <w:rsid w:val="000B4EF4"/>
    <w:rsid w:val="000B4FA2"/>
    <w:rsid w:val="000C3BFA"/>
    <w:rsid w:val="000C4861"/>
    <w:rsid w:val="000C5B27"/>
    <w:rsid w:val="000C6357"/>
    <w:rsid w:val="000C674A"/>
    <w:rsid w:val="000C7C4D"/>
    <w:rsid w:val="000D3090"/>
    <w:rsid w:val="000D3557"/>
    <w:rsid w:val="000D45F8"/>
    <w:rsid w:val="000D4962"/>
    <w:rsid w:val="000D5B35"/>
    <w:rsid w:val="000D60FB"/>
    <w:rsid w:val="000E1B4C"/>
    <w:rsid w:val="000E4077"/>
    <w:rsid w:val="000E5152"/>
    <w:rsid w:val="000E54F7"/>
    <w:rsid w:val="000E7094"/>
    <w:rsid w:val="000F0DF1"/>
    <w:rsid w:val="000F1D87"/>
    <w:rsid w:val="000F2930"/>
    <w:rsid w:val="000F4B37"/>
    <w:rsid w:val="000F4BF8"/>
    <w:rsid w:val="000F53E7"/>
    <w:rsid w:val="000F5530"/>
    <w:rsid w:val="000F70E5"/>
    <w:rsid w:val="00100048"/>
    <w:rsid w:val="00101E81"/>
    <w:rsid w:val="00103483"/>
    <w:rsid w:val="001054F9"/>
    <w:rsid w:val="00106337"/>
    <w:rsid w:val="0010673F"/>
    <w:rsid w:val="00110760"/>
    <w:rsid w:val="00111409"/>
    <w:rsid w:val="001123B9"/>
    <w:rsid w:val="0011244C"/>
    <w:rsid w:val="00113324"/>
    <w:rsid w:val="00113F90"/>
    <w:rsid w:val="00115C87"/>
    <w:rsid w:val="00116422"/>
    <w:rsid w:val="00120976"/>
    <w:rsid w:val="001210F5"/>
    <w:rsid w:val="0012215A"/>
    <w:rsid w:val="001224AF"/>
    <w:rsid w:val="00122743"/>
    <w:rsid w:val="00122782"/>
    <w:rsid w:val="001229F4"/>
    <w:rsid w:val="00123C38"/>
    <w:rsid w:val="00124E5F"/>
    <w:rsid w:val="0012556B"/>
    <w:rsid w:val="00125E3D"/>
    <w:rsid w:val="00127321"/>
    <w:rsid w:val="00132982"/>
    <w:rsid w:val="00133028"/>
    <w:rsid w:val="001337B6"/>
    <w:rsid w:val="00133E22"/>
    <w:rsid w:val="00133EE5"/>
    <w:rsid w:val="001366D1"/>
    <w:rsid w:val="00137F59"/>
    <w:rsid w:val="001421D0"/>
    <w:rsid w:val="00144DF0"/>
    <w:rsid w:val="0014513B"/>
    <w:rsid w:val="00145F27"/>
    <w:rsid w:val="0014640A"/>
    <w:rsid w:val="001468C2"/>
    <w:rsid w:val="001471B7"/>
    <w:rsid w:val="00147350"/>
    <w:rsid w:val="0014768F"/>
    <w:rsid w:val="0015110E"/>
    <w:rsid w:val="00152FCA"/>
    <w:rsid w:val="00153864"/>
    <w:rsid w:val="00154736"/>
    <w:rsid w:val="00154C2B"/>
    <w:rsid w:val="00156189"/>
    <w:rsid w:val="00156895"/>
    <w:rsid w:val="001568F2"/>
    <w:rsid w:val="00157EC7"/>
    <w:rsid w:val="00160061"/>
    <w:rsid w:val="001604E7"/>
    <w:rsid w:val="001608BB"/>
    <w:rsid w:val="00161B87"/>
    <w:rsid w:val="0016302C"/>
    <w:rsid w:val="001637FE"/>
    <w:rsid w:val="00163EE9"/>
    <w:rsid w:val="0016424B"/>
    <w:rsid w:val="00164E8B"/>
    <w:rsid w:val="00164F20"/>
    <w:rsid w:val="00170D4F"/>
    <w:rsid w:val="00172661"/>
    <w:rsid w:val="00172D14"/>
    <w:rsid w:val="00173CCB"/>
    <w:rsid w:val="00173F68"/>
    <w:rsid w:val="001750DF"/>
    <w:rsid w:val="00180E2B"/>
    <w:rsid w:val="001817C3"/>
    <w:rsid w:val="00182113"/>
    <w:rsid w:val="00182E5E"/>
    <w:rsid w:val="00184BC6"/>
    <w:rsid w:val="00185A3F"/>
    <w:rsid w:val="00186EDE"/>
    <w:rsid w:val="001874DC"/>
    <w:rsid w:val="00190D73"/>
    <w:rsid w:val="001911EC"/>
    <w:rsid w:val="001921C2"/>
    <w:rsid w:val="00192248"/>
    <w:rsid w:val="00192DF9"/>
    <w:rsid w:val="00193784"/>
    <w:rsid w:val="00193A40"/>
    <w:rsid w:val="00193DB8"/>
    <w:rsid w:val="00194DCF"/>
    <w:rsid w:val="00195217"/>
    <w:rsid w:val="001A0A5A"/>
    <w:rsid w:val="001A0C7D"/>
    <w:rsid w:val="001A232C"/>
    <w:rsid w:val="001A2411"/>
    <w:rsid w:val="001A269B"/>
    <w:rsid w:val="001A2A12"/>
    <w:rsid w:val="001A351E"/>
    <w:rsid w:val="001A36C2"/>
    <w:rsid w:val="001A4234"/>
    <w:rsid w:val="001A5758"/>
    <w:rsid w:val="001A6A50"/>
    <w:rsid w:val="001A736B"/>
    <w:rsid w:val="001A7DCF"/>
    <w:rsid w:val="001B1DC5"/>
    <w:rsid w:val="001B4641"/>
    <w:rsid w:val="001B4C9E"/>
    <w:rsid w:val="001B7877"/>
    <w:rsid w:val="001C0924"/>
    <w:rsid w:val="001C2249"/>
    <w:rsid w:val="001C2803"/>
    <w:rsid w:val="001C2BC9"/>
    <w:rsid w:val="001C318A"/>
    <w:rsid w:val="001C31F3"/>
    <w:rsid w:val="001C50F8"/>
    <w:rsid w:val="001C5747"/>
    <w:rsid w:val="001C58A1"/>
    <w:rsid w:val="001C7BB2"/>
    <w:rsid w:val="001C7CB8"/>
    <w:rsid w:val="001D00FF"/>
    <w:rsid w:val="001D0567"/>
    <w:rsid w:val="001D1823"/>
    <w:rsid w:val="001D195D"/>
    <w:rsid w:val="001D213E"/>
    <w:rsid w:val="001D3E7A"/>
    <w:rsid w:val="001D44AE"/>
    <w:rsid w:val="001D4CEA"/>
    <w:rsid w:val="001D7407"/>
    <w:rsid w:val="001E00CD"/>
    <w:rsid w:val="001E263C"/>
    <w:rsid w:val="001E3681"/>
    <w:rsid w:val="001E561C"/>
    <w:rsid w:val="001E70B9"/>
    <w:rsid w:val="001F0D34"/>
    <w:rsid w:val="001F10F8"/>
    <w:rsid w:val="001F199D"/>
    <w:rsid w:val="001F2B66"/>
    <w:rsid w:val="001F3E68"/>
    <w:rsid w:val="001F7060"/>
    <w:rsid w:val="001F7306"/>
    <w:rsid w:val="002000E0"/>
    <w:rsid w:val="00201DCF"/>
    <w:rsid w:val="00202FC5"/>
    <w:rsid w:val="00203E3D"/>
    <w:rsid w:val="00206FF4"/>
    <w:rsid w:val="00207664"/>
    <w:rsid w:val="00210941"/>
    <w:rsid w:val="00210A78"/>
    <w:rsid w:val="00211FB6"/>
    <w:rsid w:val="00212DA5"/>
    <w:rsid w:val="00213FEE"/>
    <w:rsid w:val="002145D0"/>
    <w:rsid w:val="00214E4F"/>
    <w:rsid w:val="00216BBA"/>
    <w:rsid w:val="00217F3E"/>
    <w:rsid w:val="00221606"/>
    <w:rsid w:val="00221D66"/>
    <w:rsid w:val="002225FC"/>
    <w:rsid w:val="00222C0E"/>
    <w:rsid w:val="00222D8B"/>
    <w:rsid w:val="00224163"/>
    <w:rsid w:val="00225043"/>
    <w:rsid w:val="0022541B"/>
    <w:rsid w:val="0022592D"/>
    <w:rsid w:val="00226163"/>
    <w:rsid w:val="00231D80"/>
    <w:rsid w:val="00234D34"/>
    <w:rsid w:val="00234FB4"/>
    <w:rsid w:val="00236C7A"/>
    <w:rsid w:val="00237A1E"/>
    <w:rsid w:val="00241803"/>
    <w:rsid w:val="00241D0D"/>
    <w:rsid w:val="00242457"/>
    <w:rsid w:val="00242796"/>
    <w:rsid w:val="00242ADD"/>
    <w:rsid w:val="00243D84"/>
    <w:rsid w:val="00245C83"/>
    <w:rsid w:val="002471F2"/>
    <w:rsid w:val="00250322"/>
    <w:rsid w:val="00250C15"/>
    <w:rsid w:val="002510CC"/>
    <w:rsid w:val="0025279F"/>
    <w:rsid w:val="002548D9"/>
    <w:rsid w:val="0025521F"/>
    <w:rsid w:val="00255452"/>
    <w:rsid w:val="002568E7"/>
    <w:rsid w:val="00257056"/>
    <w:rsid w:val="002570E9"/>
    <w:rsid w:val="00257EDB"/>
    <w:rsid w:val="002600AD"/>
    <w:rsid w:val="00260D1D"/>
    <w:rsid w:val="002614E6"/>
    <w:rsid w:val="00262E6F"/>
    <w:rsid w:val="00263938"/>
    <w:rsid w:val="0026425E"/>
    <w:rsid w:val="002660B6"/>
    <w:rsid w:val="0027321A"/>
    <w:rsid w:val="00273CD0"/>
    <w:rsid w:val="00276495"/>
    <w:rsid w:val="00277E61"/>
    <w:rsid w:val="00281475"/>
    <w:rsid w:val="002818F2"/>
    <w:rsid w:val="002820D5"/>
    <w:rsid w:val="00283255"/>
    <w:rsid w:val="00284562"/>
    <w:rsid w:val="00284579"/>
    <w:rsid w:val="00285F39"/>
    <w:rsid w:val="00286AA0"/>
    <w:rsid w:val="00287053"/>
    <w:rsid w:val="00287524"/>
    <w:rsid w:val="0028771B"/>
    <w:rsid w:val="00287D99"/>
    <w:rsid w:val="00290645"/>
    <w:rsid w:val="002915C7"/>
    <w:rsid w:val="00291FAD"/>
    <w:rsid w:val="002924C7"/>
    <w:rsid w:val="00294230"/>
    <w:rsid w:val="002942BF"/>
    <w:rsid w:val="00294823"/>
    <w:rsid w:val="002949DB"/>
    <w:rsid w:val="00295F43"/>
    <w:rsid w:val="00296C01"/>
    <w:rsid w:val="002A29D6"/>
    <w:rsid w:val="002A36DD"/>
    <w:rsid w:val="002A5F27"/>
    <w:rsid w:val="002A69BC"/>
    <w:rsid w:val="002A74CC"/>
    <w:rsid w:val="002A7644"/>
    <w:rsid w:val="002B16A7"/>
    <w:rsid w:val="002C03B3"/>
    <w:rsid w:val="002C0E73"/>
    <w:rsid w:val="002C0FFC"/>
    <w:rsid w:val="002C1437"/>
    <w:rsid w:val="002C1D00"/>
    <w:rsid w:val="002C22B2"/>
    <w:rsid w:val="002C2B05"/>
    <w:rsid w:val="002C404D"/>
    <w:rsid w:val="002C5D41"/>
    <w:rsid w:val="002C6F32"/>
    <w:rsid w:val="002D06B4"/>
    <w:rsid w:val="002D088C"/>
    <w:rsid w:val="002D12AE"/>
    <w:rsid w:val="002D16B1"/>
    <w:rsid w:val="002D1786"/>
    <w:rsid w:val="002D1CBD"/>
    <w:rsid w:val="002D3B01"/>
    <w:rsid w:val="002D567A"/>
    <w:rsid w:val="002D579C"/>
    <w:rsid w:val="002D5BDB"/>
    <w:rsid w:val="002D6AE1"/>
    <w:rsid w:val="002D6FB5"/>
    <w:rsid w:val="002D7A4E"/>
    <w:rsid w:val="002E0048"/>
    <w:rsid w:val="002E051F"/>
    <w:rsid w:val="002E13BE"/>
    <w:rsid w:val="002E2E9D"/>
    <w:rsid w:val="002E5655"/>
    <w:rsid w:val="002E5C7B"/>
    <w:rsid w:val="002E5D42"/>
    <w:rsid w:val="002E639F"/>
    <w:rsid w:val="002E7BD5"/>
    <w:rsid w:val="002F00A5"/>
    <w:rsid w:val="002F1CEB"/>
    <w:rsid w:val="002F22FB"/>
    <w:rsid w:val="002F2900"/>
    <w:rsid w:val="002F2D3C"/>
    <w:rsid w:val="002F2D75"/>
    <w:rsid w:val="002F3AE9"/>
    <w:rsid w:val="002F4FE0"/>
    <w:rsid w:val="002F51E2"/>
    <w:rsid w:val="002F595D"/>
    <w:rsid w:val="002F5FF4"/>
    <w:rsid w:val="002F6385"/>
    <w:rsid w:val="002F71ED"/>
    <w:rsid w:val="00300600"/>
    <w:rsid w:val="003017E7"/>
    <w:rsid w:val="00302D18"/>
    <w:rsid w:val="00302D8B"/>
    <w:rsid w:val="00303695"/>
    <w:rsid w:val="00303FCB"/>
    <w:rsid w:val="00305465"/>
    <w:rsid w:val="00305C61"/>
    <w:rsid w:val="00305E21"/>
    <w:rsid w:val="00306671"/>
    <w:rsid w:val="00312398"/>
    <w:rsid w:val="00312CA0"/>
    <w:rsid w:val="00314DC6"/>
    <w:rsid w:val="00315D98"/>
    <w:rsid w:val="00316B19"/>
    <w:rsid w:val="003173AC"/>
    <w:rsid w:val="00317811"/>
    <w:rsid w:val="00317C51"/>
    <w:rsid w:val="00320DE7"/>
    <w:rsid w:val="00321931"/>
    <w:rsid w:val="00321BD4"/>
    <w:rsid w:val="0032240D"/>
    <w:rsid w:val="003226BB"/>
    <w:rsid w:val="00323409"/>
    <w:rsid w:val="003249EB"/>
    <w:rsid w:val="00327087"/>
    <w:rsid w:val="0032764C"/>
    <w:rsid w:val="00330170"/>
    <w:rsid w:val="0033141D"/>
    <w:rsid w:val="00331541"/>
    <w:rsid w:val="003321D0"/>
    <w:rsid w:val="00332661"/>
    <w:rsid w:val="00335399"/>
    <w:rsid w:val="00335EE9"/>
    <w:rsid w:val="003360A8"/>
    <w:rsid w:val="00337DB8"/>
    <w:rsid w:val="00340C37"/>
    <w:rsid w:val="003411C4"/>
    <w:rsid w:val="003412EB"/>
    <w:rsid w:val="0034144C"/>
    <w:rsid w:val="00342AF8"/>
    <w:rsid w:val="003435B6"/>
    <w:rsid w:val="00343AFE"/>
    <w:rsid w:val="00343BAC"/>
    <w:rsid w:val="0034402E"/>
    <w:rsid w:val="00344670"/>
    <w:rsid w:val="003448B2"/>
    <w:rsid w:val="0034518B"/>
    <w:rsid w:val="0034540F"/>
    <w:rsid w:val="0034743F"/>
    <w:rsid w:val="00347617"/>
    <w:rsid w:val="00350599"/>
    <w:rsid w:val="00351694"/>
    <w:rsid w:val="00351E78"/>
    <w:rsid w:val="00356797"/>
    <w:rsid w:val="00356EE6"/>
    <w:rsid w:val="0036061C"/>
    <w:rsid w:val="003606DB"/>
    <w:rsid w:val="00362F43"/>
    <w:rsid w:val="00363143"/>
    <w:rsid w:val="0036392F"/>
    <w:rsid w:val="003647D3"/>
    <w:rsid w:val="00366887"/>
    <w:rsid w:val="00367141"/>
    <w:rsid w:val="00370719"/>
    <w:rsid w:val="00371DB2"/>
    <w:rsid w:val="00373297"/>
    <w:rsid w:val="00373786"/>
    <w:rsid w:val="00375044"/>
    <w:rsid w:val="00376022"/>
    <w:rsid w:val="00376EF5"/>
    <w:rsid w:val="00377E43"/>
    <w:rsid w:val="00380968"/>
    <w:rsid w:val="00381748"/>
    <w:rsid w:val="00383419"/>
    <w:rsid w:val="00384719"/>
    <w:rsid w:val="00385216"/>
    <w:rsid w:val="00386367"/>
    <w:rsid w:val="0038646A"/>
    <w:rsid w:val="0039052E"/>
    <w:rsid w:val="00392B7B"/>
    <w:rsid w:val="00393D0F"/>
    <w:rsid w:val="003940DD"/>
    <w:rsid w:val="0039492F"/>
    <w:rsid w:val="0039553D"/>
    <w:rsid w:val="0039577C"/>
    <w:rsid w:val="00396685"/>
    <w:rsid w:val="0039742E"/>
    <w:rsid w:val="0039797F"/>
    <w:rsid w:val="003A03BD"/>
    <w:rsid w:val="003A1F9F"/>
    <w:rsid w:val="003A2D65"/>
    <w:rsid w:val="003A3D4A"/>
    <w:rsid w:val="003A45E5"/>
    <w:rsid w:val="003A472B"/>
    <w:rsid w:val="003A4784"/>
    <w:rsid w:val="003A48C1"/>
    <w:rsid w:val="003A63EF"/>
    <w:rsid w:val="003A65DF"/>
    <w:rsid w:val="003B0473"/>
    <w:rsid w:val="003B0657"/>
    <w:rsid w:val="003B2509"/>
    <w:rsid w:val="003B28BB"/>
    <w:rsid w:val="003B3025"/>
    <w:rsid w:val="003B4141"/>
    <w:rsid w:val="003B5F3F"/>
    <w:rsid w:val="003B70E0"/>
    <w:rsid w:val="003B7EF9"/>
    <w:rsid w:val="003C0482"/>
    <w:rsid w:val="003C0719"/>
    <w:rsid w:val="003C1C79"/>
    <w:rsid w:val="003C28A1"/>
    <w:rsid w:val="003C2D8F"/>
    <w:rsid w:val="003C3572"/>
    <w:rsid w:val="003C5763"/>
    <w:rsid w:val="003C5D5E"/>
    <w:rsid w:val="003C6BFA"/>
    <w:rsid w:val="003C6DAE"/>
    <w:rsid w:val="003C785C"/>
    <w:rsid w:val="003D0E6E"/>
    <w:rsid w:val="003D2BD1"/>
    <w:rsid w:val="003E0E3E"/>
    <w:rsid w:val="003E4970"/>
    <w:rsid w:val="003E4CD1"/>
    <w:rsid w:val="003E5D09"/>
    <w:rsid w:val="003E5E3B"/>
    <w:rsid w:val="003E5FB0"/>
    <w:rsid w:val="003E62ED"/>
    <w:rsid w:val="003E64E3"/>
    <w:rsid w:val="003E748E"/>
    <w:rsid w:val="003F0AEE"/>
    <w:rsid w:val="003F2A4D"/>
    <w:rsid w:val="003F65DA"/>
    <w:rsid w:val="00400471"/>
    <w:rsid w:val="00400C56"/>
    <w:rsid w:val="00400CF7"/>
    <w:rsid w:val="004026FE"/>
    <w:rsid w:val="00402AA1"/>
    <w:rsid w:val="0040455F"/>
    <w:rsid w:val="00406EC4"/>
    <w:rsid w:val="0040767B"/>
    <w:rsid w:val="00410414"/>
    <w:rsid w:val="004119EA"/>
    <w:rsid w:val="004141A5"/>
    <w:rsid w:val="00414332"/>
    <w:rsid w:val="004154EB"/>
    <w:rsid w:val="0041592C"/>
    <w:rsid w:val="0041668A"/>
    <w:rsid w:val="00416EB7"/>
    <w:rsid w:val="00417115"/>
    <w:rsid w:val="00417ED5"/>
    <w:rsid w:val="00420DC7"/>
    <w:rsid w:val="004210C2"/>
    <w:rsid w:val="00421929"/>
    <w:rsid w:val="00423773"/>
    <w:rsid w:val="00423C52"/>
    <w:rsid w:val="0042618E"/>
    <w:rsid w:val="004261F5"/>
    <w:rsid w:val="0042642C"/>
    <w:rsid w:val="0042661D"/>
    <w:rsid w:val="00427AAC"/>
    <w:rsid w:val="00432D94"/>
    <w:rsid w:val="00433D12"/>
    <w:rsid w:val="004367D7"/>
    <w:rsid w:val="00436814"/>
    <w:rsid w:val="004378E5"/>
    <w:rsid w:val="00437F79"/>
    <w:rsid w:val="00441F9E"/>
    <w:rsid w:val="004425E7"/>
    <w:rsid w:val="0044494A"/>
    <w:rsid w:val="00445081"/>
    <w:rsid w:val="0044537C"/>
    <w:rsid w:val="00445775"/>
    <w:rsid w:val="004459D0"/>
    <w:rsid w:val="00446074"/>
    <w:rsid w:val="00446D5E"/>
    <w:rsid w:val="00446E82"/>
    <w:rsid w:val="004476C6"/>
    <w:rsid w:val="004506B6"/>
    <w:rsid w:val="00450777"/>
    <w:rsid w:val="00451D6F"/>
    <w:rsid w:val="00453DC2"/>
    <w:rsid w:val="00455658"/>
    <w:rsid w:val="00456FEB"/>
    <w:rsid w:val="00461B98"/>
    <w:rsid w:val="00462197"/>
    <w:rsid w:val="0046227B"/>
    <w:rsid w:val="004635C5"/>
    <w:rsid w:val="004638BF"/>
    <w:rsid w:val="00465589"/>
    <w:rsid w:val="00465D0D"/>
    <w:rsid w:val="00470090"/>
    <w:rsid w:val="00471B35"/>
    <w:rsid w:val="00471C51"/>
    <w:rsid w:val="00474BB4"/>
    <w:rsid w:val="00474CA2"/>
    <w:rsid w:val="0047550B"/>
    <w:rsid w:val="004757A7"/>
    <w:rsid w:val="004765BF"/>
    <w:rsid w:val="00476B27"/>
    <w:rsid w:val="00476EEA"/>
    <w:rsid w:val="00476F68"/>
    <w:rsid w:val="004801D5"/>
    <w:rsid w:val="00480733"/>
    <w:rsid w:val="00480995"/>
    <w:rsid w:val="00481F92"/>
    <w:rsid w:val="00482304"/>
    <w:rsid w:val="00482BD0"/>
    <w:rsid w:val="00484D70"/>
    <w:rsid w:val="00484E39"/>
    <w:rsid w:val="00486C18"/>
    <w:rsid w:val="00490B12"/>
    <w:rsid w:val="00490CEC"/>
    <w:rsid w:val="004921AD"/>
    <w:rsid w:val="004922E9"/>
    <w:rsid w:val="004927C1"/>
    <w:rsid w:val="00493898"/>
    <w:rsid w:val="00493CEE"/>
    <w:rsid w:val="00495236"/>
    <w:rsid w:val="00496177"/>
    <w:rsid w:val="00496A12"/>
    <w:rsid w:val="00497DFC"/>
    <w:rsid w:val="004A02A8"/>
    <w:rsid w:val="004A081C"/>
    <w:rsid w:val="004A2F9A"/>
    <w:rsid w:val="004A37F7"/>
    <w:rsid w:val="004A4C08"/>
    <w:rsid w:val="004A64F2"/>
    <w:rsid w:val="004A6CCF"/>
    <w:rsid w:val="004A6F67"/>
    <w:rsid w:val="004B07F8"/>
    <w:rsid w:val="004B0BC7"/>
    <w:rsid w:val="004B2016"/>
    <w:rsid w:val="004B3122"/>
    <w:rsid w:val="004B3A23"/>
    <w:rsid w:val="004B4004"/>
    <w:rsid w:val="004B43C7"/>
    <w:rsid w:val="004B484F"/>
    <w:rsid w:val="004B4A5F"/>
    <w:rsid w:val="004B55C4"/>
    <w:rsid w:val="004B6B2B"/>
    <w:rsid w:val="004B6C3F"/>
    <w:rsid w:val="004B7473"/>
    <w:rsid w:val="004B7B0A"/>
    <w:rsid w:val="004C0E2A"/>
    <w:rsid w:val="004C135E"/>
    <w:rsid w:val="004C3026"/>
    <w:rsid w:val="004C3D0A"/>
    <w:rsid w:val="004C40B9"/>
    <w:rsid w:val="004C4679"/>
    <w:rsid w:val="004C668E"/>
    <w:rsid w:val="004D0733"/>
    <w:rsid w:val="004D1C5D"/>
    <w:rsid w:val="004D1D78"/>
    <w:rsid w:val="004D48E8"/>
    <w:rsid w:val="004D61FE"/>
    <w:rsid w:val="004E0184"/>
    <w:rsid w:val="004E2864"/>
    <w:rsid w:val="004E2E2C"/>
    <w:rsid w:val="004E2EED"/>
    <w:rsid w:val="004E38DC"/>
    <w:rsid w:val="004E5064"/>
    <w:rsid w:val="004E6D2C"/>
    <w:rsid w:val="004F15F0"/>
    <w:rsid w:val="004F1CBD"/>
    <w:rsid w:val="004F24EA"/>
    <w:rsid w:val="004F2929"/>
    <w:rsid w:val="004F3208"/>
    <w:rsid w:val="004F46D5"/>
    <w:rsid w:val="004F6CC8"/>
    <w:rsid w:val="004F6E54"/>
    <w:rsid w:val="005008A1"/>
    <w:rsid w:val="00500988"/>
    <w:rsid w:val="005030A4"/>
    <w:rsid w:val="005044F0"/>
    <w:rsid w:val="005045F6"/>
    <w:rsid w:val="0050558E"/>
    <w:rsid w:val="00506853"/>
    <w:rsid w:val="00507930"/>
    <w:rsid w:val="00507AB0"/>
    <w:rsid w:val="00507FFB"/>
    <w:rsid w:val="005120B2"/>
    <w:rsid w:val="00512559"/>
    <w:rsid w:val="00512961"/>
    <w:rsid w:val="0051306B"/>
    <w:rsid w:val="0051496E"/>
    <w:rsid w:val="00516882"/>
    <w:rsid w:val="0051750A"/>
    <w:rsid w:val="005215AA"/>
    <w:rsid w:val="00521D02"/>
    <w:rsid w:val="0052273E"/>
    <w:rsid w:val="00523C12"/>
    <w:rsid w:val="00524F78"/>
    <w:rsid w:val="005250A0"/>
    <w:rsid w:val="005255D1"/>
    <w:rsid w:val="005266DD"/>
    <w:rsid w:val="00527557"/>
    <w:rsid w:val="005275EF"/>
    <w:rsid w:val="00531942"/>
    <w:rsid w:val="00533990"/>
    <w:rsid w:val="00534413"/>
    <w:rsid w:val="005350EC"/>
    <w:rsid w:val="00535A0B"/>
    <w:rsid w:val="00536A2D"/>
    <w:rsid w:val="00536A42"/>
    <w:rsid w:val="00537948"/>
    <w:rsid w:val="005408F0"/>
    <w:rsid w:val="00541C64"/>
    <w:rsid w:val="00544214"/>
    <w:rsid w:val="00545364"/>
    <w:rsid w:val="00545AC7"/>
    <w:rsid w:val="005460C0"/>
    <w:rsid w:val="0054731F"/>
    <w:rsid w:val="005478E1"/>
    <w:rsid w:val="00550685"/>
    <w:rsid w:val="005507EC"/>
    <w:rsid w:val="00550D96"/>
    <w:rsid w:val="005510A8"/>
    <w:rsid w:val="00551CC0"/>
    <w:rsid w:val="005529A3"/>
    <w:rsid w:val="005540E9"/>
    <w:rsid w:val="00554670"/>
    <w:rsid w:val="00554BB1"/>
    <w:rsid w:val="0055514C"/>
    <w:rsid w:val="00555249"/>
    <w:rsid w:val="005570EC"/>
    <w:rsid w:val="00561BE7"/>
    <w:rsid w:val="005624E9"/>
    <w:rsid w:val="005651FF"/>
    <w:rsid w:val="005671BB"/>
    <w:rsid w:val="005675D9"/>
    <w:rsid w:val="0057039F"/>
    <w:rsid w:val="005726DE"/>
    <w:rsid w:val="005738B5"/>
    <w:rsid w:val="0057426F"/>
    <w:rsid w:val="005758CC"/>
    <w:rsid w:val="00576996"/>
    <w:rsid w:val="00580AEA"/>
    <w:rsid w:val="00580B83"/>
    <w:rsid w:val="00582DCF"/>
    <w:rsid w:val="00583CF9"/>
    <w:rsid w:val="0058465B"/>
    <w:rsid w:val="0058479C"/>
    <w:rsid w:val="00586519"/>
    <w:rsid w:val="0058798C"/>
    <w:rsid w:val="00590AD1"/>
    <w:rsid w:val="00590E4B"/>
    <w:rsid w:val="00592744"/>
    <w:rsid w:val="00592767"/>
    <w:rsid w:val="00593F58"/>
    <w:rsid w:val="00593FE7"/>
    <w:rsid w:val="005941E0"/>
    <w:rsid w:val="00594BA8"/>
    <w:rsid w:val="00595839"/>
    <w:rsid w:val="00595B5E"/>
    <w:rsid w:val="00595BE4"/>
    <w:rsid w:val="0059728D"/>
    <w:rsid w:val="005A0DD1"/>
    <w:rsid w:val="005A1835"/>
    <w:rsid w:val="005A2B75"/>
    <w:rsid w:val="005A320C"/>
    <w:rsid w:val="005A48FA"/>
    <w:rsid w:val="005A4C1F"/>
    <w:rsid w:val="005A5710"/>
    <w:rsid w:val="005A7768"/>
    <w:rsid w:val="005B040C"/>
    <w:rsid w:val="005B0925"/>
    <w:rsid w:val="005B1F2C"/>
    <w:rsid w:val="005B2573"/>
    <w:rsid w:val="005C2E3A"/>
    <w:rsid w:val="005C431A"/>
    <w:rsid w:val="005C448F"/>
    <w:rsid w:val="005D0B2C"/>
    <w:rsid w:val="005D1DB3"/>
    <w:rsid w:val="005D2B64"/>
    <w:rsid w:val="005D408A"/>
    <w:rsid w:val="005D56CF"/>
    <w:rsid w:val="005D68EC"/>
    <w:rsid w:val="005E1F64"/>
    <w:rsid w:val="005E2A6E"/>
    <w:rsid w:val="005E3B69"/>
    <w:rsid w:val="005E51A9"/>
    <w:rsid w:val="005E6B2D"/>
    <w:rsid w:val="005F0646"/>
    <w:rsid w:val="005F0DAB"/>
    <w:rsid w:val="005F2375"/>
    <w:rsid w:val="005F4213"/>
    <w:rsid w:val="005F533F"/>
    <w:rsid w:val="005F5BC9"/>
    <w:rsid w:val="005F646A"/>
    <w:rsid w:val="005F66B8"/>
    <w:rsid w:val="005F7C3A"/>
    <w:rsid w:val="00601520"/>
    <w:rsid w:val="00602E54"/>
    <w:rsid w:val="00603145"/>
    <w:rsid w:val="0060330A"/>
    <w:rsid w:val="0060436E"/>
    <w:rsid w:val="006049F0"/>
    <w:rsid w:val="0060557B"/>
    <w:rsid w:val="00606796"/>
    <w:rsid w:val="00607328"/>
    <w:rsid w:val="00607B02"/>
    <w:rsid w:val="00607C88"/>
    <w:rsid w:val="00607EA8"/>
    <w:rsid w:val="00611850"/>
    <w:rsid w:val="00612A5E"/>
    <w:rsid w:val="00613397"/>
    <w:rsid w:val="006139E5"/>
    <w:rsid w:val="006153FC"/>
    <w:rsid w:val="00616590"/>
    <w:rsid w:val="006171A3"/>
    <w:rsid w:val="006173A9"/>
    <w:rsid w:val="006201AC"/>
    <w:rsid w:val="006237B3"/>
    <w:rsid w:val="00623EF8"/>
    <w:rsid w:val="00624133"/>
    <w:rsid w:val="00624633"/>
    <w:rsid w:val="00625C3E"/>
    <w:rsid w:val="00625CFD"/>
    <w:rsid w:val="00626915"/>
    <w:rsid w:val="00626A4F"/>
    <w:rsid w:val="0062792D"/>
    <w:rsid w:val="00630474"/>
    <w:rsid w:val="006307AA"/>
    <w:rsid w:val="00630B90"/>
    <w:rsid w:val="00630C8A"/>
    <w:rsid w:val="006328D9"/>
    <w:rsid w:val="00634160"/>
    <w:rsid w:val="00636DB4"/>
    <w:rsid w:val="00637428"/>
    <w:rsid w:val="006376F4"/>
    <w:rsid w:val="00640281"/>
    <w:rsid w:val="00640514"/>
    <w:rsid w:val="0064095C"/>
    <w:rsid w:val="00640E3F"/>
    <w:rsid w:val="006411D5"/>
    <w:rsid w:val="006412E0"/>
    <w:rsid w:val="00641866"/>
    <w:rsid w:val="00642275"/>
    <w:rsid w:val="006428B0"/>
    <w:rsid w:val="0064338C"/>
    <w:rsid w:val="00643FD5"/>
    <w:rsid w:val="006440EF"/>
    <w:rsid w:val="006442EE"/>
    <w:rsid w:val="00644725"/>
    <w:rsid w:val="00644BAC"/>
    <w:rsid w:val="006451AE"/>
    <w:rsid w:val="006507A0"/>
    <w:rsid w:val="0065199B"/>
    <w:rsid w:val="006525AC"/>
    <w:rsid w:val="0065444C"/>
    <w:rsid w:val="00655739"/>
    <w:rsid w:val="00656163"/>
    <w:rsid w:val="0065676F"/>
    <w:rsid w:val="0065761B"/>
    <w:rsid w:val="00657656"/>
    <w:rsid w:val="00657731"/>
    <w:rsid w:val="0066025C"/>
    <w:rsid w:val="0066028E"/>
    <w:rsid w:val="00660E13"/>
    <w:rsid w:val="00660FC9"/>
    <w:rsid w:val="006626BC"/>
    <w:rsid w:val="00662C10"/>
    <w:rsid w:val="006637C8"/>
    <w:rsid w:val="0066568C"/>
    <w:rsid w:val="00665A37"/>
    <w:rsid w:val="00666C67"/>
    <w:rsid w:val="00672187"/>
    <w:rsid w:val="00673600"/>
    <w:rsid w:val="006740BB"/>
    <w:rsid w:val="0067434F"/>
    <w:rsid w:val="006744C2"/>
    <w:rsid w:val="0067745C"/>
    <w:rsid w:val="00683E1A"/>
    <w:rsid w:val="006858B8"/>
    <w:rsid w:val="00685E5F"/>
    <w:rsid w:val="00686FC5"/>
    <w:rsid w:val="00687DDF"/>
    <w:rsid w:val="00691826"/>
    <w:rsid w:val="006918C6"/>
    <w:rsid w:val="00691967"/>
    <w:rsid w:val="006925D2"/>
    <w:rsid w:val="00693C0F"/>
    <w:rsid w:val="006947C5"/>
    <w:rsid w:val="00694B3D"/>
    <w:rsid w:val="0069564D"/>
    <w:rsid w:val="006976DE"/>
    <w:rsid w:val="00697A6F"/>
    <w:rsid w:val="00697BAF"/>
    <w:rsid w:val="00697F9E"/>
    <w:rsid w:val="006A0287"/>
    <w:rsid w:val="006A0424"/>
    <w:rsid w:val="006A0855"/>
    <w:rsid w:val="006A0A1E"/>
    <w:rsid w:val="006A162C"/>
    <w:rsid w:val="006A1C9D"/>
    <w:rsid w:val="006A6901"/>
    <w:rsid w:val="006A76C2"/>
    <w:rsid w:val="006A7A51"/>
    <w:rsid w:val="006B0DE9"/>
    <w:rsid w:val="006B1BF3"/>
    <w:rsid w:val="006B25C1"/>
    <w:rsid w:val="006B3A55"/>
    <w:rsid w:val="006B4877"/>
    <w:rsid w:val="006B62DC"/>
    <w:rsid w:val="006B66A1"/>
    <w:rsid w:val="006B67E8"/>
    <w:rsid w:val="006B6ACE"/>
    <w:rsid w:val="006C23B2"/>
    <w:rsid w:val="006C27B9"/>
    <w:rsid w:val="006C2EC3"/>
    <w:rsid w:val="006C2FAB"/>
    <w:rsid w:val="006C3642"/>
    <w:rsid w:val="006C3C74"/>
    <w:rsid w:val="006C52D5"/>
    <w:rsid w:val="006C5532"/>
    <w:rsid w:val="006C6C4A"/>
    <w:rsid w:val="006C74D1"/>
    <w:rsid w:val="006D1C07"/>
    <w:rsid w:val="006D2A9B"/>
    <w:rsid w:val="006D33BA"/>
    <w:rsid w:val="006D4256"/>
    <w:rsid w:val="006D5193"/>
    <w:rsid w:val="006D5216"/>
    <w:rsid w:val="006D57CD"/>
    <w:rsid w:val="006E02FC"/>
    <w:rsid w:val="006E09BF"/>
    <w:rsid w:val="006E1085"/>
    <w:rsid w:val="006E1CEE"/>
    <w:rsid w:val="006E320F"/>
    <w:rsid w:val="006E38B1"/>
    <w:rsid w:val="006E3984"/>
    <w:rsid w:val="006E3A80"/>
    <w:rsid w:val="006E60E6"/>
    <w:rsid w:val="006E69D5"/>
    <w:rsid w:val="006E6D03"/>
    <w:rsid w:val="006E7DD2"/>
    <w:rsid w:val="006F0595"/>
    <w:rsid w:val="006F308C"/>
    <w:rsid w:val="006F3A64"/>
    <w:rsid w:val="006F3DA4"/>
    <w:rsid w:val="006F4C91"/>
    <w:rsid w:val="006F53C0"/>
    <w:rsid w:val="006F5CDD"/>
    <w:rsid w:val="006F6AB8"/>
    <w:rsid w:val="006F6BB4"/>
    <w:rsid w:val="006F72B8"/>
    <w:rsid w:val="0070021D"/>
    <w:rsid w:val="0070044B"/>
    <w:rsid w:val="0070409B"/>
    <w:rsid w:val="00704859"/>
    <w:rsid w:val="007049C4"/>
    <w:rsid w:val="00707229"/>
    <w:rsid w:val="00711016"/>
    <w:rsid w:val="00711DC9"/>
    <w:rsid w:val="00712214"/>
    <w:rsid w:val="0071319D"/>
    <w:rsid w:val="007135B1"/>
    <w:rsid w:val="007141B7"/>
    <w:rsid w:val="007155DC"/>
    <w:rsid w:val="007159A2"/>
    <w:rsid w:val="00715D7F"/>
    <w:rsid w:val="00716420"/>
    <w:rsid w:val="00717489"/>
    <w:rsid w:val="00717569"/>
    <w:rsid w:val="007176D5"/>
    <w:rsid w:val="00720486"/>
    <w:rsid w:val="007204C7"/>
    <w:rsid w:val="00720582"/>
    <w:rsid w:val="00720BE6"/>
    <w:rsid w:val="007213AB"/>
    <w:rsid w:val="00722C54"/>
    <w:rsid w:val="007232D4"/>
    <w:rsid w:val="00723450"/>
    <w:rsid w:val="0072441A"/>
    <w:rsid w:val="00725386"/>
    <w:rsid w:val="00725AE4"/>
    <w:rsid w:val="00730220"/>
    <w:rsid w:val="007315B0"/>
    <w:rsid w:val="00731611"/>
    <w:rsid w:val="007341F8"/>
    <w:rsid w:val="00734AB4"/>
    <w:rsid w:val="007353DF"/>
    <w:rsid w:val="007356E1"/>
    <w:rsid w:val="007360A6"/>
    <w:rsid w:val="00741147"/>
    <w:rsid w:val="007420DC"/>
    <w:rsid w:val="00742D47"/>
    <w:rsid w:val="00744062"/>
    <w:rsid w:val="0074459C"/>
    <w:rsid w:val="007464C3"/>
    <w:rsid w:val="007471BD"/>
    <w:rsid w:val="007478B8"/>
    <w:rsid w:val="00752195"/>
    <w:rsid w:val="00753002"/>
    <w:rsid w:val="00755661"/>
    <w:rsid w:val="00756393"/>
    <w:rsid w:val="00757E20"/>
    <w:rsid w:val="007616F8"/>
    <w:rsid w:val="007620B1"/>
    <w:rsid w:val="00762169"/>
    <w:rsid w:val="00762516"/>
    <w:rsid w:val="0076277D"/>
    <w:rsid w:val="00763ACD"/>
    <w:rsid w:val="0076503E"/>
    <w:rsid w:val="0077015F"/>
    <w:rsid w:val="0077097C"/>
    <w:rsid w:val="007718A0"/>
    <w:rsid w:val="007719F0"/>
    <w:rsid w:val="00772EA7"/>
    <w:rsid w:val="00772EBB"/>
    <w:rsid w:val="00773019"/>
    <w:rsid w:val="00773C10"/>
    <w:rsid w:val="00774DF7"/>
    <w:rsid w:val="0077580B"/>
    <w:rsid w:val="00777D2B"/>
    <w:rsid w:val="0078111C"/>
    <w:rsid w:val="00781ED0"/>
    <w:rsid w:val="00783711"/>
    <w:rsid w:val="00784A60"/>
    <w:rsid w:val="00790B8E"/>
    <w:rsid w:val="00792135"/>
    <w:rsid w:val="00792845"/>
    <w:rsid w:val="00793B05"/>
    <w:rsid w:val="00794674"/>
    <w:rsid w:val="00794F9A"/>
    <w:rsid w:val="0079511F"/>
    <w:rsid w:val="00795C48"/>
    <w:rsid w:val="007970C8"/>
    <w:rsid w:val="007A08D0"/>
    <w:rsid w:val="007A21EE"/>
    <w:rsid w:val="007A3B41"/>
    <w:rsid w:val="007A5F9D"/>
    <w:rsid w:val="007A62A1"/>
    <w:rsid w:val="007A640B"/>
    <w:rsid w:val="007B15EE"/>
    <w:rsid w:val="007B21A1"/>
    <w:rsid w:val="007B3006"/>
    <w:rsid w:val="007B3871"/>
    <w:rsid w:val="007B58CD"/>
    <w:rsid w:val="007B6E28"/>
    <w:rsid w:val="007B733C"/>
    <w:rsid w:val="007C12CE"/>
    <w:rsid w:val="007C3512"/>
    <w:rsid w:val="007C3806"/>
    <w:rsid w:val="007C6BA6"/>
    <w:rsid w:val="007C784E"/>
    <w:rsid w:val="007D16E1"/>
    <w:rsid w:val="007D2747"/>
    <w:rsid w:val="007D2CCF"/>
    <w:rsid w:val="007D32F6"/>
    <w:rsid w:val="007D363E"/>
    <w:rsid w:val="007D4A2D"/>
    <w:rsid w:val="007D4BC2"/>
    <w:rsid w:val="007D6112"/>
    <w:rsid w:val="007D6631"/>
    <w:rsid w:val="007D7CE5"/>
    <w:rsid w:val="007E0468"/>
    <w:rsid w:val="007E0BAB"/>
    <w:rsid w:val="007E12E8"/>
    <w:rsid w:val="007E2574"/>
    <w:rsid w:val="007E26AA"/>
    <w:rsid w:val="007E2C06"/>
    <w:rsid w:val="007E48DE"/>
    <w:rsid w:val="007E5B02"/>
    <w:rsid w:val="007E5E03"/>
    <w:rsid w:val="007E68EA"/>
    <w:rsid w:val="007E70BB"/>
    <w:rsid w:val="007F0F16"/>
    <w:rsid w:val="007F165B"/>
    <w:rsid w:val="007F1BA2"/>
    <w:rsid w:val="007F2FD6"/>
    <w:rsid w:val="007F418F"/>
    <w:rsid w:val="007F43D6"/>
    <w:rsid w:val="007F6846"/>
    <w:rsid w:val="007F7633"/>
    <w:rsid w:val="007F791E"/>
    <w:rsid w:val="0080244E"/>
    <w:rsid w:val="00802852"/>
    <w:rsid w:val="00802BBC"/>
    <w:rsid w:val="00804013"/>
    <w:rsid w:val="0080474C"/>
    <w:rsid w:val="00804A77"/>
    <w:rsid w:val="00806690"/>
    <w:rsid w:val="0081140F"/>
    <w:rsid w:val="008117B9"/>
    <w:rsid w:val="008125C9"/>
    <w:rsid w:val="0081326F"/>
    <w:rsid w:val="0081345C"/>
    <w:rsid w:val="00813F6D"/>
    <w:rsid w:val="008142F0"/>
    <w:rsid w:val="00814A91"/>
    <w:rsid w:val="00814FB9"/>
    <w:rsid w:val="0081626B"/>
    <w:rsid w:val="008163D7"/>
    <w:rsid w:val="00816733"/>
    <w:rsid w:val="00816D44"/>
    <w:rsid w:val="00817874"/>
    <w:rsid w:val="0082051E"/>
    <w:rsid w:val="0082266D"/>
    <w:rsid w:val="008234C5"/>
    <w:rsid w:val="008238C5"/>
    <w:rsid w:val="00824FDF"/>
    <w:rsid w:val="008250E7"/>
    <w:rsid w:val="0082519B"/>
    <w:rsid w:val="00826ED9"/>
    <w:rsid w:val="00826F54"/>
    <w:rsid w:val="00827405"/>
    <w:rsid w:val="008317C9"/>
    <w:rsid w:val="0083296F"/>
    <w:rsid w:val="00832A4B"/>
    <w:rsid w:val="0083338D"/>
    <w:rsid w:val="008337BA"/>
    <w:rsid w:val="0083411D"/>
    <w:rsid w:val="00834754"/>
    <w:rsid w:val="00836535"/>
    <w:rsid w:val="0083779C"/>
    <w:rsid w:val="00841F8B"/>
    <w:rsid w:val="00842805"/>
    <w:rsid w:val="00843044"/>
    <w:rsid w:val="00843683"/>
    <w:rsid w:val="0084551C"/>
    <w:rsid w:val="00846350"/>
    <w:rsid w:val="00851264"/>
    <w:rsid w:val="00851850"/>
    <w:rsid w:val="0085269F"/>
    <w:rsid w:val="00853349"/>
    <w:rsid w:val="00853C32"/>
    <w:rsid w:val="00854D3E"/>
    <w:rsid w:val="00855465"/>
    <w:rsid w:val="008562F7"/>
    <w:rsid w:val="00860238"/>
    <w:rsid w:val="00861B7D"/>
    <w:rsid w:val="00862675"/>
    <w:rsid w:val="008649C5"/>
    <w:rsid w:val="008652D3"/>
    <w:rsid w:val="00867FC9"/>
    <w:rsid w:val="0087080A"/>
    <w:rsid w:val="008716DA"/>
    <w:rsid w:val="008717A7"/>
    <w:rsid w:val="00871A5A"/>
    <w:rsid w:val="00871E16"/>
    <w:rsid w:val="00872150"/>
    <w:rsid w:val="0087253A"/>
    <w:rsid w:val="00874521"/>
    <w:rsid w:val="00875A81"/>
    <w:rsid w:val="00876309"/>
    <w:rsid w:val="008768EB"/>
    <w:rsid w:val="008778B8"/>
    <w:rsid w:val="00880077"/>
    <w:rsid w:val="00880C3E"/>
    <w:rsid w:val="00880C42"/>
    <w:rsid w:val="00882740"/>
    <w:rsid w:val="00883410"/>
    <w:rsid w:val="00884EBA"/>
    <w:rsid w:val="00885EC8"/>
    <w:rsid w:val="008903B0"/>
    <w:rsid w:val="00890B0A"/>
    <w:rsid w:val="00891CD4"/>
    <w:rsid w:val="0089223D"/>
    <w:rsid w:val="0089248F"/>
    <w:rsid w:val="008926B3"/>
    <w:rsid w:val="008933B7"/>
    <w:rsid w:val="008944BA"/>
    <w:rsid w:val="008946D7"/>
    <w:rsid w:val="008952B6"/>
    <w:rsid w:val="008A07D4"/>
    <w:rsid w:val="008A0B7F"/>
    <w:rsid w:val="008A2665"/>
    <w:rsid w:val="008A3296"/>
    <w:rsid w:val="008A4AC1"/>
    <w:rsid w:val="008A66AC"/>
    <w:rsid w:val="008A66EF"/>
    <w:rsid w:val="008A727C"/>
    <w:rsid w:val="008B1C1E"/>
    <w:rsid w:val="008B1F48"/>
    <w:rsid w:val="008B321E"/>
    <w:rsid w:val="008B35B0"/>
    <w:rsid w:val="008B37A9"/>
    <w:rsid w:val="008B3F6F"/>
    <w:rsid w:val="008B5B6D"/>
    <w:rsid w:val="008B5BAF"/>
    <w:rsid w:val="008B5F27"/>
    <w:rsid w:val="008B6854"/>
    <w:rsid w:val="008B68A1"/>
    <w:rsid w:val="008B6DA9"/>
    <w:rsid w:val="008B7971"/>
    <w:rsid w:val="008C41DC"/>
    <w:rsid w:val="008C45FF"/>
    <w:rsid w:val="008C48E2"/>
    <w:rsid w:val="008C610A"/>
    <w:rsid w:val="008C6389"/>
    <w:rsid w:val="008C6AB8"/>
    <w:rsid w:val="008C6DF2"/>
    <w:rsid w:val="008C7596"/>
    <w:rsid w:val="008C768B"/>
    <w:rsid w:val="008C799E"/>
    <w:rsid w:val="008D025D"/>
    <w:rsid w:val="008D1031"/>
    <w:rsid w:val="008D10BD"/>
    <w:rsid w:val="008D1663"/>
    <w:rsid w:val="008D29BC"/>
    <w:rsid w:val="008D31DA"/>
    <w:rsid w:val="008D3208"/>
    <w:rsid w:val="008D3E70"/>
    <w:rsid w:val="008D4D4A"/>
    <w:rsid w:val="008D53D7"/>
    <w:rsid w:val="008D7261"/>
    <w:rsid w:val="008D79B6"/>
    <w:rsid w:val="008D7B3A"/>
    <w:rsid w:val="008D7CB0"/>
    <w:rsid w:val="008E0451"/>
    <w:rsid w:val="008E23FE"/>
    <w:rsid w:val="008E3E74"/>
    <w:rsid w:val="008E4287"/>
    <w:rsid w:val="008E4E46"/>
    <w:rsid w:val="008E60F3"/>
    <w:rsid w:val="008E6227"/>
    <w:rsid w:val="008E75F8"/>
    <w:rsid w:val="008F0E7C"/>
    <w:rsid w:val="008F15A4"/>
    <w:rsid w:val="008F2377"/>
    <w:rsid w:val="008F4A42"/>
    <w:rsid w:val="008F4E2D"/>
    <w:rsid w:val="008F5E07"/>
    <w:rsid w:val="008F6608"/>
    <w:rsid w:val="008F73FB"/>
    <w:rsid w:val="00900BA6"/>
    <w:rsid w:val="0090479A"/>
    <w:rsid w:val="009052D8"/>
    <w:rsid w:val="009053FA"/>
    <w:rsid w:val="00905C1E"/>
    <w:rsid w:val="0090683B"/>
    <w:rsid w:val="009069DB"/>
    <w:rsid w:val="00906F12"/>
    <w:rsid w:val="00907059"/>
    <w:rsid w:val="0090751F"/>
    <w:rsid w:val="00907763"/>
    <w:rsid w:val="00911012"/>
    <w:rsid w:val="0091179F"/>
    <w:rsid w:val="0091256B"/>
    <w:rsid w:val="00914DC5"/>
    <w:rsid w:val="00916880"/>
    <w:rsid w:val="00916D84"/>
    <w:rsid w:val="009205D5"/>
    <w:rsid w:val="00920820"/>
    <w:rsid w:val="009214CF"/>
    <w:rsid w:val="0092198D"/>
    <w:rsid w:val="00922B27"/>
    <w:rsid w:val="0092373C"/>
    <w:rsid w:val="009251F9"/>
    <w:rsid w:val="00930142"/>
    <w:rsid w:val="009302D9"/>
    <w:rsid w:val="00931DBF"/>
    <w:rsid w:val="009344B7"/>
    <w:rsid w:val="0093522F"/>
    <w:rsid w:val="00936010"/>
    <w:rsid w:val="0093640E"/>
    <w:rsid w:val="00936D20"/>
    <w:rsid w:val="00936EE5"/>
    <w:rsid w:val="0093700D"/>
    <w:rsid w:val="00940648"/>
    <w:rsid w:val="00941DA6"/>
    <w:rsid w:val="00942161"/>
    <w:rsid w:val="00942D4F"/>
    <w:rsid w:val="0094302B"/>
    <w:rsid w:val="0094418C"/>
    <w:rsid w:val="00944DF9"/>
    <w:rsid w:val="00944EC7"/>
    <w:rsid w:val="00945758"/>
    <w:rsid w:val="00946226"/>
    <w:rsid w:val="009473AD"/>
    <w:rsid w:val="00950427"/>
    <w:rsid w:val="009508D5"/>
    <w:rsid w:val="0095144E"/>
    <w:rsid w:val="00951ED3"/>
    <w:rsid w:val="00953D49"/>
    <w:rsid w:val="0095633D"/>
    <w:rsid w:val="009564DE"/>
    <w:rsid w:val="00957093"/>
    <w:rsid w:val="0096302D"/>
    <w:rsid w:val="00964907"/>
    <w:rsid w:val="00965C3B"/>
    <w:rsid w:val="0096608C"/>
    <w:rsid w:val="0096627E"/>
    <w:rsid w:val="009665FC"/>
    <w:rsid w:val="00966684"/>
    <w:rsid w:val="009711F6"/>
    <w:rsid w:val="00971346"/>
    <w:rsid w:val="00971EC6"/>
    <w:rsid w:val="0097274B"/>
    <w:rsid w:val="00972FBF"/>
    <w:rsid w:val="009733F0"/>
    <w:rsid w:val="00973412"/>
    <w:rsid w:val="00975D22"/>
    <w:rsid w:val="00977504"/>
    <w:rsid w:val="00977FCF"/>
    <w:rsid w:val="009837FE"/>
    <w:rsid w:val="00983FEA"/>
    <w:rsid w:val="00984D0E"/>
    <w:rsid w:val="00984DAD"/>
    <w:rsid w:val="009862E4"/>
    <w:rsid w:val="00986F34"/>
    <w:rsid w:val="0098746C"/>
    <w:rsid w:val="00987B5F"/>
    <w:rsid w:val="009902DD"/>
    <w:rsid w:val="009904AC"/>
    <w:rsid w:val="0099085C"/>
    <w:rsid w:val="009916DA"/>
    <w:rsid w:val="00991DAE"/>
    <w:rsid w:val="00992C75"/>
    <w:rsid w:val="0099372A"/>
    <w:rsid w:val="00994B7B"/>
    <w:rsid w:val="00994D60"/>
    <w:rsid w:val="00997E9B"/>
    <w:rsid w:val="009A008F"/>
    <w:rsid w:val="009A0AE5"/>
    <w:rsid w:val="009A1465"/>
    <w:rsid w:val="009A1730"/>
    <w:rsid w:val="009A17FC"/>
    <w:rsid w:val="009A241C"/>
    <w:rsid w:val="009A3258"/>
    <w:rsid w:val="009A4009"/>
    <w:rsid w:val="009A410E"/>
    <w:rsid w:val="009A49DE"/>
    <w:rsid w:val="009A6A5E"/>
    <w:rsid w:val="009A7875"/>
    <w:rsid w:val="009A7B28"/>
    <w:rsid w:val="009B075E"/>
    <w:rsid w:val="009B30CF"/>
    <w:rsid w:val="009B3A07"/>
    <w:rsid w:val="009B458A"/>
    <w:rsid w:val="009B69D3"/>
    <w:rsid w:val="009B731D"/>
    <w:rsid w:val="009B7F55"/>
    <w:rsid w:val="009C067B"/>
    <w:rsid w:val="009C2051"/>
    <w:rsid w:val="009C2FE5"/>
    <w:rsid w:val="009C3513"/>
    <w:rsid w:val="009C37EB"/>
    <w:rsid w:val="009C3C20"/>
    <w:rsid w:val="009C4005"/>
    <w:rsid w:val="009C4265"/>
    <w:rsid w:val="009C449B"/>
    <w:rsid w:val="009C44EB"/>
    <w:rsid w:val="009C6A2D"/>
    <w:rsid w:val="009C6C3D"/>
    <w:rsid w:val="009D0F1E"/>
    <w:rsid w:val="009D2219"/>
    <w:rsid w:val="009D615F"/>
    <w:rsid w:val="009D7A26"/>
    <w:rsid w:val="009E1782"/>
    <w:rsid w:val="009E19EB"/>
    <w:rsid w:val="009E3C96"/>
    <w:rsid w:val="009E3FA1"/>
    <w:rsid w:val="009E43AE"/>
    <w:rsid w:val="009E4560"/>
    <w:rsid w:val="009E4DAA"/>
    <w:rsid w:val="009E4E03"/>
    <w:rsid w:val="009E5D17"/>
    <w:rsid w:val="009E62DE"/>
    <w:rsid w:val="009E7D20"/>
    <w:rsid w:val="009F085D"/>
    <w:rsid w:val="009F0950"/>
    <w:rsid w:val="009F2AD4"/>
    <w:rsid w:val="009F4395"/>
    <w:rsid w:val="009F4FA1"/>
    <w:rsid w:val="009F6ADC"/>
    <w:rsid w:val="00A006F7"/>
    <w:rsid w:val="00A01FB3"/>
    <w:rsid w:val="00A04173"/>
    <w:rsid w:val="00A0564F"/>
    <w:rsid w:val="00A06437"/>
    <w:rsid w:val="00A0668A"/>
    <w:rsid w:val="00A0692A"/>
    <w:rsid w:val="00A069FC"/>
    <w:rsid w:val="00A06A32"/>
    <w:rsid w:val="00A10F41"/>
    <w:rsid w:val="00A112D6"/>
    <w:rsid w:val="00A13DE9"/>
    <w:rsid w:val="00A14089"/>
    <w:rsid w:val="00A1464A"/>
    <w:rsid w:val="00A14984"/>
    <w:rsid w:val="00A15B7B"/>
    <w:rsid w:val="00A16086"/>
    <w:rsid w:val="00A1616A"/>
    <w:rsid w:val="00A175E5"/>
    <w:rsid w:val="00A2053D"/>
    <w:rsid w:val="00A22B17"/>
    <w:rsid w:val="00A22C4D"/>
    <w:rsid w:val="00A2360D"/>
    <w:rsid w:val="00A236E2"/>
    <w:rsid w:val="00A242B4"/>
    <w:rsid w:val="00A25AB1"/>
    <w:rsid w:val="00A266B2"/>
    <w:rsid w:val="00A269B6"/>
    <w:rsid w:val="00A27481"/>
    <w:rsid w:val="00A27E38"/>
    <w:rsid w:val="00A31F65"/>
    <w:rsid w:val="00A3252F"/>
    <w:rsid w:val="00A374F6"/>
    <w:rsid w:val="00A37AE3"/>
    <w:rsid w:val="00A41505"/>
    <w:rsid w:val="00A41769"/>
    <w:rsid w:val="00A423EC"/>
    <w:rsid w:val="00A42948"/>
    <w:rsid w:val="00A42E68"/>
    <w:rsid w:val="00A43149"/>
    <w:rsid w:val="00A43700"/>
    <w:rsid w:val="00A44425"/>
    <w:rsid w:val="00A47506"/>
    <w:rsid w:val="00A53137"/>
    <w:rsid w:val="00A552C2"/>
    <w:rsid w:val="00A55A29"/>
    <w:rsid w:val="00A576B0"/>
    <w:rsid w:val="00A57BDD"/>
    <w:rsid w:val="00A60F64"/>
    <w:rsid w:val="00A61413"/>
    <w:rsid w:val="00A62F59"/>
    <w:rsid w:val="00A6310A"/>
    <w:rsid w:val="00A65133"/>
    <w:rsid w:val="00A65DB3"/>
    <w:rsid w:val="00A67498"/>
    <w:rsid w:val="00A67499"/>
    <w:rsid w:val="00A71442"/>
    <w:rsid w:val="00A71CBE"/>
    <w:rsid w:val="00A723BE"/>
    <w:rsid w:val="00A72CC7"/>
    <w:rsid w:val="00A742AD"/>
    <w:rsid w:val="00A762E3"/>
    <w:rsid w:val="00A76897"/>
    <w:rsid w:val="00A8385D"/>
    <w:rsid w:val="00A83AE6"/>
    <w:rsid w:val="00A842C2"/>
    <w:rsid w:val="00A868FE"/>
    <w:rsid w:val="00A93DA0"/>
    <w:rsid w:val="00A93F02"/>
    <w:rsid w:val="00A94A06"/>
    <w:rsid w:val="00A94E6D"/>
    <w:rsid w:val="00A952C5"/>
    <w:rsid w:val="00A95A03"/>
    <w:rsid w:val="00AA019A"/>
    <w:rsid w:val="00AA120B"/>
    <w:rsid w:val="00AA126D"/>
    <w:rsid w:val="00AA1B5B"/>
    <w:rsid w:val="00AA2CC9"/>
    <w:rsid w:val="00AA365B"/>
    <w:rsid w:val="00AA4FB2"/>
    <w:rsid w:val="00AA503D"/>
    <w:rsid w:val="00AA5C29"/>
    <w:rsid w:val="00AA67C3"/>
    <w:rsid w:val="00AA6A76"/>
    <w:rsid w:val="00AB1CC5"/>
    <w:rsid w:val="00AB2AB6"/>
    <w:rsid w:val="00AB4CD3"/>
    <w:rsid w:val="00AB54A0"/>
    <w:rsid w:val="00AB6150"/>
    <w:rsid w:val="00AB6684"/>
    <w:rsid w:val="00AB6F6D"/>
    <w:rsid w:val="00AB7016"/>
    <w:rsid w:val="00AB75F3"/>
    <w:rsid w:val="00AC03E6"/>
    <w:rsid w:val="00AC1A31"/>
    <w:rsid w:val="00AC37FC"/>
    <w:rsid w:val="00AC41A9"/>
    <w:rsid w:val="00AC59D4"/>
    <w:rsid w:val="00AC5AB3"/>
    <w:rsid w:val="00AC7836"/>
    <w:rsid w:val="00AD03EB"/>
    <w:rsid w:val="00AD11EC"/>
    <w:rsid w:val="00AD15C3"/>
    <w:rsid w:val="00AD1F2D"/>
    <w:rsid w:val="00AD357E"/>
    <w:rsid w:val="00AD4480"/>
    <w:rsid w:val="00AD5BDA"/>
    <w:rsid w:val="00AD6413"/>
    <w:rsid w:val="00AD66AB"/>
    <w:rsid w:val="00AD6DF3"/>
    <w:rsid w:val="00AD7C92"/>
    <w:rsid w:val="00AE1616"/>
    <w:rsid w:val="00AE2C00"/>
    <w:rsid w:val="00AE3DF2"/>
    <w:rsid w:val="00AE46C9"/>
    <w:rsid w:val="00AE4D37"/>
    <w:rsid w:val="00AE7F2D"/>
    <w:rsid w:val="00AF04D5"/>
    <w:rsid w:val="00AF1373"/>
    <w:rsid w:val="00AF1402"/>
    <w:rsid w:val="00AF2700"/>
    <w:rsid w:val="00AF272E"/>
    <w:rsid w:val="00AF2AFE"/>
    <w:rsid w:val="00AF42F4"/>
    <w:rsid w:val="00AF6409"/>
    <w:rsid w:val="00AF69D8"/>
    <w:rsid w:val="00AF73AC"/>
    <w:rsid w:val="00B0027E"/>
    <w:rsid w:val="00B0190E"/>
    <w:rsid w:val="00B02611"/>
    <w:rsid w:val="00B0302D"/>
    <w:rsid w:val="00B047EC"/>
    <w:rsid w:val="00B056B8"/>
    <w:rsid w:val="00B05EAD"/>
    <w:rsid w:val="00B064A6"/>
    <w:rsid w:val="00B07857"/>
    <w:rsid w:val="00B0791D"/>
    <w:rsid w:val="00B10FC6"/>
    <w:rsid w:val="00B1224D"/>
    <w:rsid w:val="00B12349"/>
    <w:rsid w:val="00B124DC"/>
    <w:rsid w:val="00B12849"/>
    <w:rsid w:val="00B135D7"/>
    <w:rsid w:val="00B155C4"/>
    <w:rsid w:val="00B16614"/>
    <w:rsid w:val="00B16BBE"/>
    <w:rsid w:val="00B20552"/>
    <w:rsid w:val="00B20DD9"/>
    <w:rsid w:val="00B20E25"/>
    <w:rsid w:val="00B2112F"/>
    <w:rsid w:val="00B21BDD"/>
    <w:rsid w:val="00B21C2D"/>
    <w:rsid w:val="00B22B0C"/>
    <w:rsid w:val="00B23A96"/>
    <w:rsid w:val="00B24C37"/>
    <w:rsid w:val="00B25E9D"/>
    <w:rsid w:val="00B27798"/>
    <w:rsid w:val="00B330A6"/>
    <w:rsid w:val="00B337A3"/>
    <w:rsid w:val="00B33BA6"/>
    <w:rsid w:val="00B33FA2"/>
    <w:rsid w:val="00B3665F"/>
    <w:rsid w:val="00B40713"/>
    <w:rsid w:val="00B4106A"/>
    <w:rsid w:val="00B41D72"/>
    <w:rsid w:val="00B4250C"/>
    <w:rsid w:val="00B442AD"/>
    <w:rsid w:val="00B44A17"/>
    <w:rsid w:val="00B451A1"/>
    <w:rsid w:val="00B47355"/>
    <w:rsid w:val="00B47751"/>
    <w:rsid w:val="00B47E19"/>
    <w:rsid w:val="00B50D94"/>
    <w:rsid w:val="00B51C84"/>
    <w:rsid w:val="00B52557"/>
    <w:rsid w:val="00B52D47"/>
    <w:rsid w:val="00B54D5B"/>
    <w:rsid w:val="00B56335"/>
    <w:rsid w:val="00B60BCD"/>
    <w:rsid w:val="00B6230B"/>
    <w:rsid w:val="00B62904"/>
    <w:rsid w:val="00B62BD2"/>
    <w:rsid w:val="00B63258"/>
    <w:rsid w:val="00B640A3"/>
    <w:rsid w:val="00B6770B"/>
    <w:rsid w:val="00B70100"/>
    <w:rsid w:val="00B70742"/>
    <w:rsid w:val="00B70B3A"/>
    <w:rsid w:val="00B723F8"/>
    <w:rsid w:val="00B72B91"/>
    <w:rsid w:val="00B72D9B"/>
    <w:rsid w:val="00B7584A"/>
    <w:rsid w:val="00B76633"/>
    <w:rsid w:val="00B77DC4"/>
    <w:rsid w:val="00B77EC4"/>
    <w:rsid w:val="00B818C2"/>
    <w:rsid w:val="00B81F1D"/>
    <w:rsid w:val="00B82748"/>
    <w:rsid w:val="00B83172"/>
    <w:rsid w:val="00B8427E"/>
    <w:rsid w:val="00B8438E"/>
    <w:rsid w:val="00B84751"/>
    <w:rsid w:val="00B84AAF"/>
    <w:rsid w:val="00B85B26"/>
    <w:rsid w:val="00B878F0"/>
    <w:rsid w:val="00B92CEE"/>
    <w:rsid w:val="00B937D1"/>
    <w:rsid w:val="00B93923"/>
    <w:rsid w:val="00B97583"/>
    <w:rsid w:val="00BA06AD"/>
    <w:rsid w:val="00BA0BB1"/>
    <w:rsid w:val="00BA185B"/>
    <w:rsid w:val="00BA1912"/>
    <w:rsid w:val="00BA5DE0"/>
    <w:rsid w:val="00BB24BC"/>
    <w:rsid w:val="00BB2688"/>
    <w:rsid w:val="00BB5391"/>
    <w:rsid w:val="00BB60E1"/>
    <w:rsid w:val="00BB7F9C"/>
    <w:rsid w:val="00BC1001"/>
    <w:rsid w:val="00BC222D"/>
    <w:rsid w:val="00BC296C"/>
    <w:rsid w:val="00BC3030"/>
    <w:rsid w:val="00BC37DE"/>
    <w:rsid w:val="00BC4AAE"/>
    <w:rsid w:val="00BC5BB6"/>
    <w:rsid w:val="00BC6E61"/>
    <w:rsid w:val="00BC7CBA"/>
    <w:rsid w:val="00BD00E2"/>
    <w:rsid w:val="00BD068F"/>
    <w:rsid w:val="00BD3C21"/>
    <w:rsid w:val="00BD4682"/>
    <w:rsid w:val="00BD790D"/>
    <w:rsid w:val="00BE02A2"/>
    <w:rsid w:val="00BE15B4"/>
    <w:rsid w:val="00BE19E8"/>
    <w:rsid w:val="00BE2120"/>
    <w:rsid w:val="00BE22A5"/>
    <w:rsid w:val="00BE23CF"/>
    <w:rsid w:val="00BE43A0"/>
    <w:rsid w:val="00BE5EA1"/>
    <w:rsid w:val="00BE5FB6"/>
    <w:rsid w:val="00BE6726"/>
    <w:rsid w:val="00BE6E0C"/>
    <w:rsid w:val="00BE7B64"/>
    <w:rsid w:val="00BF1B18"/>
    <w:rsid w:val="00BF1CEA"/>
    <w:rsid w:val="00BF288D"/>
    <w:rsid w:val="00BF2CCC"/>
    <w:rsid w:val="00BF2D22"/>
    <w:rsid w:val="00BF3F9D"/>
    <w:rsid w:val="00BF4A1D"/>
    <w:rsid w:val="00BF4BD8"/>
    <w:rsid w:val="00BF7E34"/>
    <w:rsid w:val="00C00571"/>
    <w:rsid w:val="00C007BE"/>
    <w:rsid w:val="00C00FF6"/>
    <w:rsid w:val="00C01A11"/>
    <w:rsid w:val="00C01DC9"/>
    <w:rsid w:val="00C021E9"/>
    <w:rsid w:val="00C02B38"/>
    <w:rsid w:val="00C035AA"/>
    <w:rsid w:val="00C04D86"/>
    <w:rsid w:val="00C05C26"/>
    <w:rsid w:val="00C0780D"/>
    <w:rsid w:val="00C12E3C"/>
    <w:rsid w:val="00C135AF"/>
    <w:rsid w:val="00C135B6"/>
    <w:rsid w:val="00C15DEC"/>
    <w:rsid w:val="00C202A9"/>
    <w:rsid w:val="00C20E5E"/>
    <w:rsid w:val="00C21481"/>
    <w:rsid w:val="00C21899"/>
    <w:rsid w:val="00C21B5F"/>
    <w:rsid w:val="00C21DF0"/>
    <w:rsid w:val="00C22030"/>
    <w:rsid w:val="00C25813"/>
    <w:rsid w:val="00C258A5"/>
    <w:rsid w:val="00C26FE8"/>
    <w:rsid w:val="00C270F5"/>
    <w:rsid w:val="00C271A3"/>
    <w:rsid w:val="00C30116"/>
    <w:rsid w:val="00C30270"/>
    <w:rsid w:val="00C30754"/>
    <w:rsid w:val="00C325A3"/>
    <w:rsid w:val="00C33063"/>
    <w:rsid w:val="00C34B3C"/>
    <w:rsid w:val="00C34DC5"/>
    <w:rsid w:val="00C3594D"/>
    <w:rsid w:val="00C36AC6"/>
    <w:rsid w:val="00C4090E"/>
    <w:rsid w:val="00C410F5"/>
    <w:rsid w:val="00C41825"/>
    <w:rsid w:val="00C41F40"/>
    <w:rsid w:val="00C421D9"/>
    <w:rsid w:val="00C42623"/>
    <w:rsid w:val="00C42B09"/>
    <w:rsid w:val="00C42ED8"/>
    <w:rsid w:val="00C44966"/>
    <w:rsid w:val="00C515EE"/>
    <w:rsid w:val="00C53CCC"/>
    <w:rsid w:val="00C53F1B"/>
    <w:rsid w:val="00C5489B"/>
    <w:rsid w:val="00C570B2"/>
    <w:rsid w:val="00C57461"/>
    <w:rsid w:val="00C60FE8"/>
    <w:rsid w:val="00C611DD"/>
    <w:rsid w:val="00C61288"/>
    <w:rsid w:val="00C63717"/>
    <w:rsid w:val="00C63868"/>
    <w:rsid w:val="00C65890"/>
    <w:rsid w:val="00C67C59"/>
    <w:rsid w:val="00C67E42"/>
    <w:rsid w:val="00C71DBD"/>
    <w:rsid w:val="00C73FE8"/>
    <w:rsid w:val="00C75E0B"/>
    <w:rsid w:val="00C76A41"/>
    <w:rsid w:val="00C76FCD"/>
    <w:rsid w:val="00C8165B"/>
    <w:rsid w:val="00C8192B"/>
    <w:rsid w:val="00C825C7"/>
    <w:rsid w:val="00C82890"/>
    <w:rsid w:val="00C846A1"/>
    <w:rsid w:val="00C847D5"/>
    <w:rsid w:val="00C84841"/>
    <w:rsid w:val="00C84C10"/>
    <w:rsid w:val="00C85A81"/>
    <w:rsid w:val="00C86A55"/>
    <w:rsid w:val="00C87682"/>
    <w:rsid w:val="00C87A5C"/>
    <w:rsid w:val="00C91775"/>
    <w:rsid w:val="00C92275"/>
    <w:rsid w:val="00C93134"/>
    <w:rsid w:val="00C931F1"/>
    <w:rsid w:val="00C94E9D"/>
    <w:rsid w:val="00C958B0"/>
    <w:rsid w:val="00C973A3"/>
    <w:rsid w:val="00CA0F32"/>
    <w:rsid w:val="00CA1187"/>
    <w:rsid w:val="00CA38EC"/>
    <w:rsid w:val="00CA4A6F"/>
    <w:rsid w:val="00CA4DD3"/>
    <w:rsid w:val="00CA5238"/>
    <w:rsid w:val="00CA6833"/>
    <w:rsid w:val="00CA7F07"/>
    <w:rsid w:val="00CB0A23"/>
    <w:rsid w:val="00CB1523"/>
    <w:rsid w:val="00CB4039"/>
    <w:rsid w:val="00CC1A2E"/>
    <w:rsid w:val="00CC2378"/>
    <w:rsid w:val="00CC2B1D"/>
    <w:rsid w:val="00CC309F"/>
    <w:rsid w:val="00CC46D4"/>
    <w:rsid w:val="00CC4A4F"/>
    <w:rsid w:val="00CC586F"/>
    <w:rsid w:val="00CC620D"/>
    <w:rsid w:val="00CC7A08"/>
    <w:rsid w:val="00CD0C52"/>
    <w:rsid w:val="00CD1103"/>
    <w:rsid w:val="00CD3108"/>
    <w:rsid w:val="00CD374A"/>
    <w:rsid w:val="00CD3924"/>
    <w:rsid w:val="00CD3C3E"/>
    <w:rsid w:val="00CD4293"/>
    <w:rsid w:val="00CD4FC0"/>
    <w:rsid w:val="00CD60B2"/>
    <w:rsid w:val="00CD6968"/>
    <w:rsid w:val="00CD71E4"/>
    <w:rsid w:val="00CD77CC"/>
    <w:rsid w:val="00CE0701"/>
    <w:rsid w:val="00CE0AE2"/>
    <w:rsid w:val="00CE0BA1"/>
    <w:rsid w:val="00CE1358"/>
    <w:rsid w:val="00CE2431"/>
    <w:rsid w:val="00CE3C41"/>
    <w:rsid w:val="00CE62EE"/>
    <w:rsid w:val="00CE694F"/>
    <w:rsid w:val="00CF01E7"/>
    <w:rsid w:val="00CF0294"/>
    <w:rsid w:val="00CF060F"/>
    <w:rsid w:val="00CF11E9"/>
    <w:rsid w:val="00CF2CCE"/>
    <w:rsid w:val="00CF3DB3"/>
    <w:rsid w:val="00CF444C"/>
    <w:rsid w:val="00CF4BE4"/>
    <w:rsid w:val="00CF4FB0"/>
    <w:rsid w:val="00CF5FCB"/>
    <w:rsid w:val="00CF60EB"/>
    <w:rsid w:val="00CF7D82"/>
    <w:rsid w:val="00D00293"/>
    <w:rsid w:val="00D00A44"/>
    <w:rsid w:val="00D01243"/>
    <w:rsid w:val="00D015C8"/>
    <w:rsid w:val="00D02044"/>
    <w:rsid w:val="00D02402"/>
    <w:rsid w:val="00D03294"/>
    <w:rsid w:val="00D03DF5"/>
    <w:rsid w:val="00D058BE"/>
    <w:rsid w:val="00D062D6"/>
    <w:rsid w:val="00D06349"/>
    <w:rsid w:val="00D073C0"/>
    <w:rsid w:val="00D074B5"/>
    <w:rsid w:val="00D104BA"/>
    <w:rsid w:val="00D1067F"/>
    <w:rsid w:val="00D10CFB"/>
    <w:rsid w:val="00D11F2C"/>
    <w:rsid w:val="00D13498"/>
    <w:rsid w:val="00D1391B"/>
    <w:rsid w:val="00D14AAD"/>
    <w:rsid w:val="00D1557D"/>
    <w:rsid w:val="00D16645"/>
    <w:rsid w:val="00D175DB"/>
    <w:rsid w:val="00D17FE9"/>
    <w:rsid w:val="00D20E7E"/>
    <w:rsid w:val="00D20FDA"/>
    <w:rsid w:val="00D22124"/>
    <w:rsid w:val="00D23F57"/>
    <w:rsid w:val="00D262CB"/>
    <w:rsid w:val="00D26458"/>
    <w:rsid w:val="00D268E7"/>
    <w:rsid w:val="00D27C06"/>
    <w:rsid w:val="00D30F18"/>
    <w:rsid w:val="00D3163E"/>
    <w:rsid w:val="00D31CFB"/>
    <w:rsid w:val="00D32989"/>
    <w:rsid w:val="00D33F6C"/>
    <w:rsid w:val="00D34691"/>
    <w:rsid w:val="00D3522A"/>
    <w:rsid w:val="00D361B1"/>
    <w:rsid w:val="00D36803"/>
    <w:rsid w:val="00D36851"/>
    <w:rsid w:val="00D37960"/>
    <w:rsid w:val="00D401E0"/>
    <w:rsid w:val="00D412F6"/>
    <w:rsid w:val="00D41AEB"/>
    <w:rsid w:val="00D421FE"/>
    <w:rsid w:val="00D45F6C"/>
    <w:rsid w:val="00D47517"/>
    <w:rsid w:val="00D47E56"/>
    <w:rsid w:val="00D50AE4"/>
    <w:rsid w:val="00D51837"/>
    <w:rsid w:val="00D52708"/>
    <w:rsid w:val="00D53061"/>
    <w:rsid w:val="00D53C8B"/>
    <w:rsid w:val="00D541A7"/>
    <w:rsid w:val="00D54DEC"/>
    <w:rsid w:val="00D55B6A"/>
    <w:rsid w:val="00D566CE"/>
    <w:rsid w:val="00D57CE2"/>
    <w:rsid w:val="00D6129E"/>
    <w:rsid w:val="00D632E9"/>
    <w:rsid w:val="00D63D7F"/>
    <w:rsid w:val="00D64093"/>
    <w:rsid w:val="00D65AA2"/>
    <w:rsid w:val="00D660FC"/>
    <w:rsid w:val="00D71FBE"/>
    <w:rsid w:val="00D734A8"/>
    <w:rsid w:val="00D765C2"/>
    <w:rsid w:val="00D768A3"/>
    <w:rsid w:val="00D7759C"/>
    <w:rsid w:val="00D80207"/>
    <w:rsid w:val="00D82F0C"/>
    <w:rsid w:val="00D847B0"/>
    <w:rsid w:val="00D84AD4"/>
    <w:rsid w:val="00D8577A"/>
    <w:rsid w:val="00D86612"/>
    <w:rsid w:val="00D905BD"/>
    <w:rsid w:val="00D908C8"/>
    <w:rsid w:val="00D90AFB"/>
    <w:rsid w:val="00D91656"/>
    <w:rsid w:val="00D93035"/>
    <w:rsid w:val="00D93144"/>
    <w:rsid w:val="00D931B6"/>
    <w:rsid w:val="00D9436B"/>
    <w:rsid w:val="00D95640"/>
    <w:rsid w:val="00D959C5"/>
    <w:rsid w:val="00D95D41"/>
    <w:rsid w:val="00D969E0"/>
    <w:rsid w:val="00D96AF9"/>
    <w:rsid w:val="00DA19DE"/>
    <w:rsid w:val="00DA1DF3"/>
    <w:rsid w:val="00DA33F0"/>
    <w:rsid w:val="00DA3955"/>
    <w:rsid w:val="00DA4526"/>
    <w:rsid w:val="00DA4706"/>
    <w:rsid w:val="00DA6520"/>
    <w:rsid w:val="00DA67B1"/>
    <w:rsid w:val="00DB06DC"/>
    <w:rsid w:val="00DB0706"/>
    <w:rsid w:val="00DB11CA"/>
    <w:rsid w:val="00DB2904"/>
    <w:rsid w:val="00DB51A6"/>
    <w:rsid w:val="00DB60A1"/>
    <w:rsid w:val="00DB6256"/>
    <w:rsid w:val="00DB6D96"/>
    <w:rsid w:val="00DC02A0"/>
    <w:rsid w:val="00DC1E52"/>
    <w:rsid w:val="00DC2D28"/>
    <w:rsid w:val="00DC5014"/>
    <w:rsid w:val="00DC60C5"/>
    <w:rsid w:val="00DC73B0"/>
    <w:rsid w:val="00DC7F91"/>
    <w:rsid w:val="00DD283F"/>
    <w:rsid w:val="00DD4DCB"/>
    <w:rsid w:val="00DD6111"/>
    <w:rsid w:val="00DE0065"/>
    <w:rsid w:val="00DE0242"/>
    <w:rsid w:val="00DE0A5E"/>
    <w:rsid w:val="00DE0DD3"/>
    <w:rsid w:val="00DE2321"/>
    <w:rsid w:val="00DE27BE"/>
    <w:rsid w:val="00DE3ECC"/>
    <w:rsid w:val="00DE73BF"/>
    <w:rsid w:val="00DE76A4"/>
    <w:rsid w:val="00DE7AD6"/>
    <w:rsid w:val="00DF67C5"/>
    <w:rsid w:val="00DF6F22"/>
    <w:rsid w:val="00E007DD"/>
    <w:rsid w:val="00E01AD1"/>
    <w:rsid w:val="00E02AEA"/>
    <w:rsid w:val="00E04256"/>
    <w:rsid w:val="00E05371"/>
    <w:rsid w:val="00E105DD"/>
    <w:rsid w:val="00E108B4"/>
    <w:rsid w:val="00E10CAC"/>
    <w:rsid w:val="00E113E2"/>
    <w:rsid w:val="00E11C38"/>
    <w:rsid w:val="00E11F8C"/>
    <w:rsid w:val="00E12836"/>
    <w:rsid w:val="00E12E05"/>
    <w:rsid w:val="00E13C82"/>
    <w:rsid w:val="00E152C9"/>
    <w:rsid w:val="00E15D13"/>
    <w:rsid w:val="00E16765"/>
    <w:rsid w:val="00E16E95"/>
    <w:rsid w:val="00E20754"/>
    <w:rsid w:val="00E222EC"/>
    <w:rsid w:val="00E2360C"/>
    <w:rsid w:val="00E2533C"/>
    <w:rsid w:val="00E2582D"/>
    <w:rsid w:val="00E26D41"/>
    <w:rsid w:val="00E27A08"/>
    <w:rsid w:val="00E27ABE"/>
    <w:rsid w:val="00E27B15"/>
    <w:rsid w:val="00E304C0"/>
    <w:rsid w:val="00E329AE"/>
    <w:rsid w:val="00E3393C"/>
    <w:rsid w:val="00E33EF5"/>
    <w:rsid w:val="00E341B7"/>
    <w:rsid w:val="00E34DDE"/>
    <w:rsid w:val="00E34F8C"/>
    <w:rsid w:val="00E352FD"/>
    <w:rsid w:val="00E3546E"/>
    <w:rsid w:val="00E35635"/>
    <w:rsid w:val="00E358AE"/>
    <w:rsid w:val="00E35902"/>
    <w:rsid w:val="00E3600F"/>
    <w:rsid w:val="00E36219"/>
    <w:rsid w:val="00E37085"/>
    <w:rsid w:val="00E37C22"/>
    <w:rsid w:val="00E37D2C"/>
    <w:rsid w:val="00E37DD2"/>
    <w:rsid w:val="00E40C59"/>
    <w:rsid w:val="00E4140E"/>
    <w:rsid w:val="00E41430"/>
    <w:rsid w:val="00E41956"/>
    <w:rsid w:val="00E425BC"/>
    <w:rsid w:val="00E427B6"/>
    <w:rsid w:val="00E42D90"/>
    <w:rsid w:val="00E437AD"/>
    <w:rsid w:val="00E455ED"/>
    <w:rsid w:val="00E50340"/>
    <w:rsid w:val="00E5071A"/>
    <w:rsid w:val="00E508CD"/>
    <w:rsid w:val="00E50EAA"/>
    <w:rsid w:val="00E529A3"/>
    <w:rsid w:val="00E53CB6"/>
    <w:rsid w:val="00E55C92"/>
    <w:rsid w:val="00E60235"/>
    <w:rsid w:val="00E62A3A"/>
    <w:rsid w:val="00E63A9A"/>
    <w:rsid w:val="00E63C73"/>
    <w:rsid w:val="00E64732"/>
    <w:rsid w:val="00E64ADC"/>
    <w:rsid w:val="00E64AF5"/>
    <w:rsid w:val="00E6584A"/>
    <w:rsid w:val="00E6687F"/>
    <w:rsid w:val="00E67425"/>
    <w:rsid w:val="00E709F0"/>
    <w:rsid w:val="00E70D4D"/>
    <w:rsid w:val="00E714E9"/>
    <w:rsid w:val="00E71F37"/>
    <w:rsid w:val="00E729D2"/>
    <w:rsid w:val="00E7359E"/>
    <w:rsid w:val="00E73815"/>
    <w:rsid w:val="00E73BD8"/>
    <w:rsid w:val="00E74996"/>
    <w:rsid w:val="00E755F5"/>
    <w:rsid w:val="00E77677"/>
    <w:rsid w:val="00E7784F"/>
    <w:rsid w:val="00E8084B"/>
    <w:rsid w:val="00E81A76"/>
    <w:rsid w:val="00E81F39"/>
    <w:rsid w:val="00E82CED"/>
    <w:rsid w:val="00E82DF8"/>
    <w:rsid w:val="00E83175"/>
    <w:rsid w:val="00E841A2"/>
    <w:rsid w:val="00E85496"/>
    <w:rsid w:val="00E85B99"/>
    <w:rsid w:val="00E85DD0"/>
    <w:rsid w:val="00E93237"/>
    <w:rsid w:val="00E943A3"/>
    <w:rsid w:val="00E962A2"/>
    <w:rsid w:val="00E976F1"/>
    <w:rsid w:val="00EA0110"/>
    <w:rsid w:val="00EA1EC6"/>
    <w:rsid w:val="00EA55DC"/>
    <w:rsid w:val="00EA61CE"/>
    <w:rsid w:val="00EA67CC"/>
    <w:rsid w:val="00EA6ADE"/>
    <w:rsid w:val="00EA72E4"/>
    <w:rsid w:val="00EB0072"/>
    <w:rsid w:val="00EB0997"/>
    <w:rsid w:val="00EB1939"/>
    <w:rsid w:val="00EB1B3B"/>
    <w:rsid w:val="00EB29E9"/>
    <w:rsid w:val="00EB3917"/>
    <w:rsid w:val="00EB396A"/>
    <w:rsid w:val="00EB5A8D"/>
    <w:rsid w:val="00EC0167"/>
    <w:rsid w:val="00EC3F1E"/>
    <w:rsid w:val="00EC4264"/>
    <w:rsid w:val="00ED1078"/>
    <w:rsid w:val="00ED2FA6"/>
    <w:rsid w:val="00ED3636"/>
    <w:rsid w:val="00ED3711"/>
    <w:rsid w:val="00ED4663"/>
    <w:rsid w:val="00ED55B7"/>
    <w:rsid w:val="00ED628C"/>
    <w:rsid w:val="00ED685F"/>
    <w:rsid w:val="00ED7AE3"/>
    <w:rsid w:val="00ED7B65"/>
    <w:rsid w:val="00EE01F5"/>
    <w:rsid w:val="00EE0CFD"/>
    <w:rsid w:val="00EE1433"/>
    <w:rsid w:val="00EE219D"/>
    <w:rsid w:val="00EE2AD7"/>
    <w:rsid w:val="00EE5BF4"/>
    <w:rsid w:val="00EE6345"/>
    <w:rsid w:val="00EE68F9"/>
    <w:rsid w:val="00EE6AD9"/>
    <w:rsid w:val="00EE741F"/>
    <w:rsid w:val="00EE7C65"/>
    <w:rsid w:val="00EF021B"/>
    <w:rsid w:val="00EF064F"/>
    <w:rsid w:val="00EF260E"/>
    <w:rsid w:val="00EF2D54"/>
    <w:rsid w:val="00EF47CB"/>
    <w:rsid w:val="00EF6F54"/>
    <w:rsid w:val="00EF6FB1"/>
    <w:rsid w:val="00EF7A54"/>
    <w:rsid w:val="00EF7D47"/>
    <w:rsid w:val="00EF7D4A"/>
    <w:rsid w:val="00F05355"/>
    <w:rsid w:val="00F079E2"/>
    <w:rsid w:val="00F10E9E"/>
    <w:rsid w:val="00F11039"/>
    <w:rsid w:val="00F122D9"/>
    <w:rsid w:val="00F127A4"/>
    <w:rsid w:val="00F13290"/>
    <w:rsid w:val="00F13FEE"/>
    <w:rsid w:val="00F16966"/>
    <w:rsid w:val="00F173A9"/>
    <w:rsid w:val="00F17E6F"/>
    <w:rsid w:val="00F2337E"/>
    <w:rsid w:val="00F24898"/>
    <w:rsid w:val="00F24C99"/>
    <w:rsid w:val="00F255DB"/>
    <w:rsid w:val="00F2594C"/>
    <w:rsid w:val="00F25C3F"/>
    <w:rsid w:val="00F27B91"/>
    <w:rsid w:val="00F27C8C"/>
    <w:rsid w:val="00F27F22"/>
    <w:rsid w:val="00F30196"/>
    <w:rsid w:val="00F30D2F"/>
    <w:rsid w:val="00F320A6"/>
    <w:rsid w:val="00F331F5"/>
    <w:rsid w:val="00F347B5"/>
    <w:rsid w:val="00F34DA4"/>
    <w:rsid w:val="00F35DF3"/>
    <w:rsid w:val="00F3745E"/>
    <w:rsid w:val="00F37758"/>
    <w:rsid w:val="00F37F96"/>
    <w:rsid w:val="00F403BF"/>
    <w:rsid w:val="00F408D8"/>
    <w:rsid w:val="00F43C2B"/>
    <w:rsid w:val="00F4492C"/>
    <w:rsid w:val="00F4493D"/>
    <w:rsid w:val="00F453EF"/>
    <w:rsid w:val="00F45E35"/>
    <w:rsid w:val="00F45FB2"/>
    <w:rsid w:val="00F46C5A"/>
    <w:rsid w:val="00F46CFD"/>
    <w:rsid w:val="00F515DC"/>
    <w:rsid w:val="00F51776"/>
    <w:rsid w:val="00F53387"/>
    <w:rsid w:val="00F54519"/>
    <w:rsid w:val="00F56618"/>
    <w:rsid w:val="00F63835"/>
    <w:rsid w:val="00F63963"/>
    <w:rsid w:val="00F63CC2"/>
    <w:rsid w:val="00F646C4"/>
    <w:rsid w:val="00F66A8F"/>
    <w:rsid w:val="00F70A33"/>
    <w:rsid w:val="00F72498"/>
    <w:rsid w:val="00F73347"/>
    <w:rsid w:val="00F756CE"/>
    <w:rsid w:val="00F77B88"/>
    <w:rsid w:val="00F82519"/>
    <w:rsid w:val="00F825FC"/>
    <w:rsid w:val="00F82EB1"/>
    <w:rsid w:val="00F83BBD"/>
    <w:rsid w:val="00F85EC0"/>
    <w:rsid w:val="00F862C3"/>
    <w:rsid w:val="00F86C02"/>
    <w:rsid w:val="00F86C3F"/>
    <w:rsid w:val="00F86C7D"/>
    <w:rsid w:val="00F8740A"/>
    <w:rsid w:val="00F87E6D"/>
    <w:rsid w:val="00F90BB7"/>
    <w:rsid w:val="00F92A46"/>
    <w:rsid w:val="00F93BC7"/>
    <w:rsid w:val="00F93F55"/>
    <w:rsid w:val="00F968D5"/>
    <w:rsid w:val="00F96B3E"/>
    <w:rsid w:val="00F96BD3"/>
    <w:rsid w:val="00F977D6"/>
    <w:rsid w:val="00FA2586"/>
    <w:rsid w:val="00FA3E09"/>
    <w:rsid w:val="00FA4791"/>
    <w:rsid w:val="00FA4D40"/>
    <w:rsid w:val="00FA4F10"/>
    <w:rsid w:val="00FA5D83"/>
    <w:rsid w:val="00FA6A95"/>
    <w:rsid w:val="00FA6F66"/>
    <w:rsid w:val="00FA7B38"/>
    <w:rsid w:val="00FA7F26"/>
    <w:rsid w:val="00FB179D"/>
    <w:rsid w:val="00FB1D75"/>
    <w:rsid w:val="00FB2462"/>
    <w:rsid w:val="00FB353D"/>
    <w:rsid w:val="00FB5A08"/>
    <w:rsid w:val="00FB6E74"/>
    <w:rsid w:val="00FC1CAE"/>
    <w:rsid w:val="00FC1D5C"/>
    <w:rsid w:val="00FC2103"/>
    <w:rsid w:val="00FC233A"/>
    <w:rsid w:val="00FC4A5E"/>
    <w:rsid w:val="00FC4B18"/>
    <w:rsid w:val="00FC6679"/>
    <w:rsid w:val="00FD0AB3"/>
    <w:rsid w:val="00FD0EE2"/>
    <w:rsid w:val="00FD111F"/>
    <w:rsid w:val="00FD1C7F"/>
    <w:rsid w:val="00FD4002"/>
    <w:rsid w:val="00FD4235"/>
    <w:rsid w:val="00FD4B1C"/>
    <w:rsid w:val="00FE0741"/>
    <w:rsid w:val="00FE09AC"/>
    <w:rsid w:val="00FE178C"/>
    <w:rsid w:val="00FE2969"/>
    <w:rsid w:val="00FE39EF"/>
    <w:rsid w:val="00FE5A2B"/>
    <w:rsid w:val="00FF0466"/>
    <w:rsid w:val="00FF06E7"/>
    <w:rsid w:val="00FF176E"/>
    <w:rsid w:val="00FF1F48"/>
    <w:rsid w:val="00FF4CAF"/>
    <w:rsid w:val="00FF5A53"/>
    <w:rsid w:val="00FF722C"/>
    <w:rsid w:val="00FF7329"/>
    <w:rsid w:val="00FF777F"/>
    <w:rsid w:val="00FF7F0E"/>
  </w:rsids>
  <m:mathPr>
    <m:mathFont m:val="Cambria Math"/>
    <m:brkBin m:val="before"/>
    <m:brkBinSub m:val="--"/>
    <m:smallFrac m:val="0"/>
    <m:dispDef/>
    <m:lMargin m:val="0"/>
    <m:rMargin m:val="0"/>
    <m:defJc m:val="centerGroup"/>
    <m:wrapIndent m:val="1440"/>
    <m:intLim m:val="subSup"/>
    <m:naryLim m:val="undOvr"/>
  </m:mathPr>
  <w:themeFontLang w:val="de-DE"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B15"/>
    <w:rPr>
      <w:sz w:val="24"/>
      <w:szCs w:val="24"/>
      <w:lang w:eastAsia="en-US"/>
    </w:rPr>
  </w:style>
  <w:style w:type="paragraph" w:styleId="berschrift1">
    <w:name w:val="heading 1"/>
    <w:basedOn w:val="Standard"/>
    <w:next w:val="Standard"/>
    <w:link w:val="berschrift1Zchn"/>
    <w:qFormat/>
    <w:rsid w:val="00E27B15"/>
    <w:pPr>
      <w:keepNext/>
      <w:outlineLvl w:val="0"/>
    </w:pPr>
    <w:rPr>
      <w:b/>
      <w:bCs/>
      <w:lang w:val="en-GB"/>
    </w:rPr>
  </w:style>
  <w:style w:type="paragraph" w:styleId="berschrift2">
    <w:name w:val="heading 2"/>
    <w:basedOn w:val="Standard"/>
    <w:next w:val="Standard"/>
    <w:link w:val="berschrift2Zchn"/>
    <w:qFormat/>
    <w:rsid w:val="00E27B1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outlineLvl w:val="1"/>
    </w:pPr>
    <w:rPr>
      <w:b/>
      <w:bCs/>
      <w:lang w:val="en-GB"/>
    </w:rPr>
  </w:style>
  <w:style w:type="paragraph" w:styleId="berschrift3">
    <w:name w:val="heading 3"/>
    <w:basedOn w:val="Standard"/>
    <w:next w:val="Standard"/>
    <w:link w:val="berschrift3Zchn"/>
    <w:qFormat/>
    <w:rsid w:val="00E27B1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2"/>
    </w:pPr>
    <w:rPr>
      <w:i/>
      <w:i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CC8"/>
    <w:pPr>
      <w:ind w:left="708"/>
    </w:pPr>
  </w:style>
  <w:style w:type="character" w:customStyle="1" w:styleId="berschrift1Zchn">
    <w:name w:val="Überschrift 1 Zchn"/>
    <w:basedOn w:val="Absatz-Standardschriftart"/>
    <w:link w:val="berschrift1"/>
    <w:rsid w:val="00630C8A"/>
    <w:rPr>
      <w:b/>
      <w:bCs/>
      <w:sz w:val="24"/>
      <w:szCs w:val="24"/>
      <w:lang w:val="en-GB" w:eastAsia="en-US"/>
    </w:rPr>
  </w:style>
  <w:style w:type="character" w:customStyle="1" w:styleId="berschrift2Zchn">
    <w:name w:val="Überschrift 2 Zchn"/>
    <w:basedOn w:val="Absatz-Standardschriftart"/>
    <w:link w:val="berschrift2"/>
    <w:rsid w:val="00630C8A"/>
    <w:rPr>
      <w:b/>
      <w:bCs/>
      <w:sz w:val="24"/>
      <w:szCs w:val="24"/>
      <w:lang w:val="en-GB" w:eastAsia="en-US"/>
    </w:rPr>
  </w:style>
  <w:style w:type="character" w:customStyle="1" w:styleId="berschrift3Zchn">
    <w:name w:val="Überschrift 3 Zchn"/>
    <w:basedOn w:val="Absatz-Standardschriftart"/>
    <w:link w:val="berschrift3"/>
    <w:rsid w:val="00630C8A"/>
    <w:rPr>
      <w:i/>
      <w:iCs/>
      <w:sz w:val="24"/>
      <w:szCs w:val="24"/>
      <w:lang w:val="en-GB" w:eastAsia="en-US"/>
    </w:rPr>
  </w:style>
  <w:style w:type="character" w:styleId="Hervorhebung">
    <w:name w:val="Emphasis"/>
    <w:basedOn w:val="Absatz-Standardschriftart"/>
    <w:qFormat/>
    <w:rsid w:val="00E27B15"/>
    <w:rPr>
      <w:i/>
      <w:iCs/>
    </w:rPr>
  </w:style>
  <w:style w:type="paragraph" w:styleId="Funotentext">
    <w:name w:val="footnote text"/>
    <w:basedOn w:val="Standard"/>
    <w:link w:val="FunotentextZchn"/>
    <w:uiPriority w:val="99"/>
    <w:unhideWhenUsed/>
    <w:rsid w:val="007F791E"/>
    <w:rPr>
      <w:sz w:val="20"/>
      <w:szCs w:val="20"/>
    </w:rPr>
  </w:style>
  <w:style w:type="character" w:customStyle="1" w:styleId="FunotentextZchn">
    <w:name w:val="Fußnotentext Zchn"/>
    <w:basedOn w:val="Absatz-Standardschriftart"/>
    <w:link w:val="Funotentext"/>
    <w:uiPriority w:val="99"/>
    <w:rsid w:val="007F791E"/>
    <w:rPr>
      <w:lang w:eastAsia="en-US"/>
    </w:rPr>
  </w:style>
  <w:style w:type="character" w:styleId="Funotenzeichen">
    <w:name w:val="footnote reference"/>
    <w:basedOn w:val="Absatz-Standardschriftart"/>
    <w:uiPriority w:val="99"/>
    <w:semiHidden/>
    <w:unhideWhenUsed/>
    <w:rsid w:val="007F791E"/>
    <w:rPr>
      <w:vertAlign w:val="superscript"/>
    </w:rPr>
  </w:style>
  <w:style w:type="character" w:styleId="Hyperlink">
    <w:name w:val="Hyperlink"/>
    <w:basedOn w:val="Absatz-Standardschriftart"/>
    <w:uiPriority w:val="99"/>
    <w:unhideWhenUsed/>
    <w:rsid w:val="00400C56"/>
    <w:rPr>
      <w:color w:val="0000FF"/>
      <w:u w:val="single"/>
    </w:rPr>
  </w:style>
  <w:style w:type="paragraph" w:styleId="Kopfzeile">
    <w:name w:val="header"/>
    <w:basedOn w:val="Standard"/>
    <w:link w:val="KopfzeileZchn"/>
    <w:uiPriority w:val="99"/>
    <w:semiHidden/>
    <w:unhideWhenUsed/>
    <w:rsid w:val="00B937D1"/>
    <w:pPr>
      <w:tabs>
        <w:tab w:val="center" w:pos="4536"/>
        <w:tab w:val="right" w:pos="9072"/>
      </w:tabs>
    </w:pPr>
  </w:style>
  <w:style w:type="character" w:customStyle="1" w:styleId="KopfzeileZchn">
    <w:name w:val="Kopfzeile Zchn"/>
    <w:basedOn w:val="Absatz-Standardschriftart"/>
    <w:link w:val="Kopfzeile"/>
    <w:uiPriority w:val="99"/>
    <w:semiHidden/>
    <w:rsid w:val="00B937D1"/>
    <w:rPr>
      <w:sz w:val="24"/>
      <w:szCs w:val="24"/>
      <w:lang w:eastAsia="en-US"/>
    </w:rPr>
  </w:style>
  <w:style w:type="paragraph" w:styleId="Fuzeile">
    <w:name w:val="footer"/>
    <w:basedOn w:val="Standard"/>
    <w:link w:val="FuzeileZchn"/>
    <w:uiPriority w:val="99"/>
    <w:unhideWhenUsed/>
    <w:rsid w:val="00B937D1"/>
    <w:pPr>
      <w:tabs>
        <w:tab w:val="center" w:pos="4536"/>
        <w:tab w:val="right" w:pos="9072"/>
      </w:tabs>
    </w:pPr>
  </w:style>
  <w:style w:type="character" w:customStyle="1" w:styleId="FuzeileZchn">
    <w:name w:val="Fußzeile Zchn"/>
    <w:basedOn w:val="Absatz-Standardschriftart"/>
    <w:link w:val="Fuzeile"/>
    <w:uiPriority w:val="99"/>
    <w:rsid w:val="00B937D1"/>
    <w:rPr>
      <w:sz w:val="24"/>
      <w:szCs w:val="24"/>
      <w:lang w:eastAsia="en-US"/>
    </w:rPr>
  </w:style>
  <w:style w:type="paragraph" w:customStyle="1" w:styleId="Literatur">
    <w:name w:val="Literatur"/>
    <w:link w:val="LiteraturChar"/>
    <w:autoRedefine/>
    <w:rsid w:val="00A14984"/>
    <w:pPr>
      <w:jc w:val="both"/>
    </w:pPr>
    <w:rPr>
      <w:rFonts w:eastAsia="TT5A9o00" w:cs="Times-Roman"/>
      <w:noProof/>
      <w:color w:val="000000"/>
      <w:sz w:val="24"/>
      <w:szCs w:val="24"/>
      <w:lang w:eastAsia="en-US"/>
    </w:rPr>
  </w:style>
  <w:style w:type="character" w:customStyle="1" w:styleId="LiteraturChar">
    <w:name w:val="Literatur Char"/>
    <w:basedOn w:val="Absatz-Standardschriftart"/>
    <w:link w:val="Literatur"/>
    <w:rsid w:val="00A14984"/>
    <w:rPr>
      <w:rFonts w:eastAsia="TT5A9o00" w:cs="Times-Roman"/>
      <w:noProof/>
      <w:color w:val="000000"/>
      <w:sz w:val="24"/>
      <w:szCs w:val="24"/>
      <w:lang w:eastAsia="en-US"/>
    </w:rPr>
  </w:style>
  <w:style w:type="paragraph" w:styleId="Endnotentext">
    <w:name w:val="endnote text"/>
    <w:basedOn w:val="Standard"/>
    <w:link w:val="EndnotentextZchn"/>
    <w:uiPriority w:val="99"/>
    <w:semiHidden/>
    <w:unhideWhenUsed/>
    <w:rsid w:val="00BE5EA1"/>
    <w:rPr>
      <w:sz w:val="20"/>
      <w:szCs w:val="20"/>
    </w:rPr>
  </w:style>
  <w:style w:type="character" w:customStyle="1" w:styleId="EndnotentextZchn">
    <w:name w:val="Endnotentext Zchn"/>
    <w:basedOn w:val="Absatz-Standardschriftart"/>
    <w:link w:val="Endnotentext"/>
    <w:uiPriority w:val="99"/>
    <w:semiHidden/>
    <w:rsid w:val="00BE5EA1"/>
    <w:rPr>
      <w:lang w:eastAsia="en-US"/>
    </w:rPr>
  </w:style>
  <w:style w:type="character" w:styleId="Endnotenzeichen">
    <w:name w:val="endnote reference"/>
    <w:basedOn w:val="Absatz-Standardschriftart"/>
    <w:uiPriority w:val="99"/>
    <w:semiHidden/>
    <w:unhideWhenUsed/>
    <w:rsid w:val="00BE5EA1"/>
    <w:rPr>
      <w:vertAlign w:val="superscript"/>
    </w:rPr>
  </w:style>
  <w:style w:type="paragraph" w:styleId="Sprechblasentext">
    <w:name w:val="Balloon Text"/>
    <w:basedOn w:val="Standard"/>
    <w:link w:val="SprechblasentextZchn"/>
    <w:uiPriority w:val="99"/>
    <w:semiHidden/>
    <w:unhideWhenUsed/>
    <w:rsid w:val="00AF27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700"/>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816D44"/>
    <w:rPr>
      <w:sz w:val="16"/>
      <w:szCs w:val="16"/>
    </w:rPr>
  </w:style>
  <w:style w:type="paragraph" w:styleId="Kommentartext">
    <w:name w:val="annotation text"/>
    <w:basedOn w:val="Standard"/>
    <w:link w:val="KommentartextZchn"/>
    <w:uiPriority w:val="99"/>
    <w:semiHidden/>
    <w:unhideWhenUsed/>
    <w:rsid w:val="00816D44"/>
    <w:rPr>
      <w:sz w:val="20"/>
      <w:szCs w:val="20"/>
    </w:rPr>
  </w:style>
  <w:style w:type="character" w:customStyle="1" w:styleId="KommentartextZchn">
    <w:name w:val="Kommentartext Zchn"/>
    <w:basedOn w:val="Absatz-Standardschriftart"/>
    <w:link w:val="Kommentartext"/>
    <w:uiPriority w:val="99"/>
    <w:semiHidden/>
    <w:rsid w:val="00816D44"/>
    <w:rPr>
      <w:lang w:eastAsia="en-US"/>
    </w:rPr>
  </w:style>
  <w:style w:type="paragraph" w:styleId="Kommentarthema">
    <w:name w:val="annotation subject"/>
    <w:basedOn w:val="Kommentartext"/>
    <w:next w:val="Kommentartext"/>
    <w:link w:val="KommentarthemaZchn"/>
    <w:uiPriority w:val="99"/>
    <w:semiHidden/>
    <w:unhideWhenUsed/>
    <w:rsid w:val="00816D44"/>
    <w:rPr>
      <w:b/>
      <w:bCs/>
    </w:rPr>
  </w:style>
  <w:style w:type="character" w:customStyle="1" w:styleId="KommentarthemaZchn">
    <w:name w:val="Kommentarthema Zchn"/>
    <w:basedOn w:val="KommentartextZchn"/>
    <w:link w:val="Kommentarthema"/>
    <w:uiPriority w:val="99"/>
    <w:semiHidden/>
    <w:rsid w:val="00816D4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de-DE" w:eastAsia="zh-CN"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704">
      <w:bodyDiv w:val="1"/>
      <w:marLeft w:val="0"/>
      <w:marRight w:val="0"/>
      <w:marTop w:val="0"/>
      <w:marBottom w:val="0"/>
      <w:divBdr>
        <w:top w:val="none" w:sz="0" w:space="0" w:color="auto"/>
        <w:left w:val="none" w:sz="0" w:space="0" w:color="auto"/>
        <w:bottom w:val="none" w:sz="0" w:space="0" w:color="auto"/>
        <w:right w:val="none" w:sz="0" w:space="0" w:color="auto"/>
      </w:divBdr>
      <w:divsChild>
        <w:div w:id="2080519350">
          <w:marLeft w:val="0"/>
          <w:marRight w:val="0"/>
          <w:marTop w:val="0"/>
          <w:marBottom w:val="0"/>
          <w:divBdr>
            <w:top w:val="none" w:sz="0" w:space="0" w:color="auto"/>
            <w:left w:val="none" w:sz="0" w:space="0" w:color="auto"/>
            <w:bottom w:val="none" w:sz="0" w:space="0" w:color="auto"/>
            <w:right w:val="none" w:sz="0" w:space="0" w:color="auto"/>
          </w:divBdr>
        </w:div>
        <w:div w:id="133256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3%B1ju%C5%9Br%C4%AB-m%C5%ABla-kal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use.jhu.edu/journals/late_imperial_china/toc/late.29.1.html" TargetMode="External"/><Relationship Id="rId4" Type="http://schemas.openxmlformats.org/officeDocument/2006/relationships/settings" Target="settings.xml"/><Relationship Id="rId9" Type="http://schemas.openxmlformats.org/officeDocument/2006/relationships/hyperlink" Target="http://muse.jhu.edu/journals/late_imperial_chin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2AA4-32A2-43F1-BD8B-0920B1BD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8801</Words>
  <Characters>55447</Characters>
  <Application>Microsoft Office Word</Application>
  <DocSecurity>0</DocSecurity>
  <Lines>462</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Heuschert-Laage</dc:creator>
  <cp:lastModifiedBy>Dorothea Heuschert-Laage</cp:lastModifiedBy>
  <cp:revision>2</cp:revision>
  <cp:lastPrinted>2013-08-27T09:38:00Z</cp:lastPrinted>
  <dcterms:created xsi:type="dcterms:W3CDTF">2015-12-08T20:15:00Z</dcterms:created>
  <dcterms:modified xsi:type="dcterms:W3CDTF">2015-12-08T20:15:00Z</dcterms:modified>
</cp:coreProperties>
</file>