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31DC6" w14:textId="77777777" w:rsidR="00635D43" w:rsidRDefault="00B808E3" w:rsidP="00B808E3">
      <w:pPr>
        <w:pStyle w:val="Titel"/>
      </w:pPr>
      <w:r>
        <w:t>Von der Öffentlichkeit der Theologie als Praktische Theologie</w:t>
      </w:r>
    </w:p>
    <w:p w14:paraId="247A1CB5" w14:textId="7D2605B0" w:rsidR="00B808E3" w:rsidRDefault="00E43DE8" w:rsidP="00E43DE8">
      <w:pPr>
        <w:pStyle w:val="Untertitel"/>
      </w:pPr>
      <w:r>
        <w:t>David Plüss</w:t>
      </w:r>
    </w:p>
    <w:p w14:paraId="60F048CF" w14:textId="48DCF8F7" w:rsidR="00E43DE8" w:rsidRDefault="004A0736" w:rsidP="004A0736">
      <w:pPr>
        <w:pStyle w:val="berschrift1"/>
      </w:pPr>
      <w:r>
        <w:t>Zwei Fallbeispiele</w:t>
      </w:r>
    </w:p>
    <w:p w14:paraId="3401F94A" w14:textId="0CD39DDB" w:rsidR="009C63AB" w:rsidRDefault="009C63AB" w:rsidP="00B808E3">
      <w:r>
        <w:t>Zwei Fallbeispiele sollen die Fragen, die ich im Folgenden diskutieren werde, gleich zu Beginn konkretisieren:</w:t>
      </w:r>
    </w:p>
    <w:p w14:paraId="464D6069" w14:textId="6989E42C" w:rsidR="00C2419A" w:rsidRDefault="00B808E3" w:rsidP="00B808E3">
      <w:r>
        <w:t xml:space="preserve">Seit </w:t>
      </w:r>
      <w:r w:rsidR="00E43DE8">
        <w:t xml:space="preserve">dem Jahr 2011 </w:t>
      </w:r>
      <w:r>
        <w:t xml:space="preserve">leistet sich die Berner Theologische Fakultät eine Professur für </w:t>
      </w:r>
      <w:r w:rsidR="00D10657">
        <w:t>«</w:t>
      </w:r>
      <w:r>
        <w:t>Empirische Religionsforschung und Theorie der interreligilösen Kommunikation</w:t>
      </w:r>
      <w:r w:rsidR="00D10657">
        <w:t>»</w:t>
      </w:r>
      <w:r>
        <w:t xml:space="preserve">. Es handelt sich dabei um eine </w:t>
      </w:r>
      <w:r w:rsidR="00D03011">
        <w:t>Stelle</w:t>
      </w:r>
      <w:r w:rsidR="00FD3220">
        <w:t xml:space="preserve"> zu 50%</w:t>
      </w:r>
      <w:r>
        <w:t xml:space="preserve">, die in der Praktischen Theologie angesiedelt ist. </w:t>
      </w:r>
      <w:r w:rsidR="00C2419A">
        <w:t>Zu deren Aufgaben gehören</w:t>
      </w:r>
      <w:r>
        <w:t xml:space="preserve"> einerseits </w:t>
      </w:r>
      <w:r w:rsidR="00C2419A">
        <w:t>Lehrleistungen</w:t>
      </w:r>
      <w:r w:rsidR="000E5BD3">
        <w:t xml:space="preserve"> </w:t>
      </w:r>
      <w:r w:rsidR="004078CA">
        <w:t xml:space="preserve">für den </w:t>
      </w:r>
      <w:r>
        <w:t>Studiengang</w:t>
      </w:r>
      <w:r w:rsidR="000E5BD3">
        <w:t xml:space="preserve"> «Interreligiöse Studien»</w:t>
      </w:r>
      <w:r w:rsidR="00C2419A">
        <w:t>.</w:t>
      </w:r>
      <w:r w:rsidR="00CB0FE7">
        <w:t xml:space="preserve"> </w:t>
      </w:r>
      <w:r w:rsidR="00C2419A">
        <w:t>A</w:t>
      </w:r>
      <w:r w:rsidR="00CB0FE7">
        <w:t>ndererseits soll sie den in den letzten Jahren mit zwei grossen Nationalfondsprojekten erfolgreichen Schwerpunkt in empirischer Religionsforschung weiter ausbauen und konsolidieren</w:t>
      </w:r>
      <w:r w:rsidR="00100615">
        <w:t xml:space="preserve"> helfen</w:t>
      </w:r>
      <w:r w:rsidR="00C2419A">
        <w:t>.</w:t>
      </w:r>
      <w:r w:rsidR="00CB0FE7">
        <w:t xml:space="preserve"> </w:t>
      </w:r>
      <w:r w:rsidR="00D90B21">
        <w:t>Und</w:t>
      </w:r>
      <w:r w:rsidR="00CB0FE7">
        <w:t xml:space="preserve"> </w:t>
      </w:r>
      <w:r w:rsidR="00D90B21">
        <w:t xml:space="preserve">sie </w:t>
      </w:r>
      <w:r w:rsidR="00C2419A">
        <w:t xml:space="preserve">soll Drittmittel einwerben. Dafür </w:t>
      </w:r>
      <w:r w:rsidR="00CB0FE7">
        <w:t>wurden Mittel eingesetzt, die vorher</w:t>
      </w:r>
      <w:r w:rsidR="00363CA6">
        <w:t xml:space="preserve"> </w:t>
      </w:r>
      <w:r w:rsidR="00C2419A">
        <w:t xml:space="preserve">für die herkömmlichen Themenfelder der </w:t>
      </w:r>
      <w:r w:rsidR="00D90B21">
        <w:t>Praktische</w:t>
      </w:r>
      <w:r w:rsidR="00C2419A">
        <w:t>n</w:t>
      </w:r>
      <w:r w:rsidR="00D90B21">
        <w:t xml:space="preserve"> Theologie zur Verfügung standen.</w:t>
      </w:r>
      <w:r w:rsidR="00C2419A">
        <w:t xml:space="preserve"> </w:t>
      </w:r>
    </w:p>
    <w:p w14:paraId="4B927ED6" w14:textId="504F23DB" w:rsidR="00FB1F31" w:rsidRDefault="00D90B21" w:rsidP="00B808E3">
      <w:r>
        <w:t>Das Motiv dieser Neustrukturierung und Umwidmung von Mitteln war nicht zuletzt das der</w:t>
      </w:r>
      <w:r w:rsidR="00C2419A">
        <w:t xml:space="preserve"> Steigerung der</w:t>
      </w:r>
      <w:r>
        <w:t xml:space="preserve"> </w:t>
      </w:r>
      <w:r w:rsidRPr="00C2419A">
        <w:rPr>
          <w:i/>
        </w:rPr>
        <w:t>öffentlichen Relevanz theologischer Forschung und Lehre</w:t>
      </w:r>
      <w:r>
        <w:t>.</w:t>
      </w:r>
      <w:r w:rsidR="00C2419A">
        <w:t xml:space="preserve"> Sowohl mit dem</w:t>
      </w:r>
      <w:r w:rsidR="00FB1F31">
        <w:t xml:space="preserve"> </w:t>
      </w:r>
      <w:r w:rsidR="00C2419A">
        <w:t>Ausbau</w:t>
      </w:r>
      <w:r w:rsidR="00FB1F31">
        <w:t xml:space="preserve"> des Studienganges „Interreligiöse Studien“ als auch mit der gegenwartsbezogenen Religionsforschung wollte die Fakultät ihre Position in der gesellschaftlichen, aber auch in der universitären Öffentlichkeit stärken. – </w:t>
      </w:r>
      <w:r w:rsidR="00FB1F31" w:rsidRPr="004A79E5">
        <w:t>Handelt es sich dabei um eine Stärkung auf Kosten der kirchlichen Öffentlichkeit? Ich werde diese Frage später wieder aufgreifen.</w:t>
      </w:r>
      <w:r w:rsidR="00B077A9" w:rsidRPr="004A79E5">
        <w:t xml:space="preserve"> Ebenso die Frage, ob und in welcher Weise die sozialwissenschaftliche Religionsforschung </w:t>
      </w:r>
      <w:r w:rsidR="00A133AD" w:rsidRPr="004A79E5">
        <w:t>prakt</w:t>
      </w:r>
      <w:r w:rsidR="004A79E5">
        <w:t>i</w:t>
      </w:r>
      <w:r w:rsidR="00A133AD" w:rsidRPr="004A79E5">
        <w:t>sch-</w:t>
      </w:r>
      <w:r w:rsidR="00B077A9" w:rsidRPr="004A79E5">
        <w:t>theologisch getauft werden kann oder soll und welchen Nutzen die Praktische Theologie von ihr hat.</w:t>
      </w:r>
    </w:p>
    <w:p w14:paraId="45F60CE6" w14:textId="77777777" w:rsidR="00FB1F31" w:rsidRDefault="00FB1F31" w:rsidP="00B808E3"/>
    <w:p w14:paraId="09275B56" w14:textId="0493A54F" w:rsidR="00FB1F31" w:rsidRDefault="00FB1F31" w:rsidP="00B808E3">
      <w:r>
        <w:t>Eine zweite Problembeschreibung:</w:t>
      </w:r>
    </w:p>
    <w:p w14:paraId="2FC2F93E" w14:textId="752975CC" w:rsidR="00CB0FE7" w:rsidRDefault="00416B89" w:rsidP="00B808E3">
      <w:r>
        <w:t xml:space="preserve">Der Schweizerische Nationalfonds hat mit dem Nationalen Forschungsprogramm 58, </w:t>
      </w:r>
      <w:r w:rsidR="0069089A">
        <w:t>dessen Schlussbericht den Titel trägt</w:t>
      </w:r>
      <w:r>
        <w:t xml:space="preserve"> „Religionen, Staat und Gesellschaft</w:t>
      </w:r>
      <w:r w:rsidR="0069089A">
        <w:t>. Die Schweiz zwischen Säkularisierung und religiöser Vielfalt“, die Religionsforschung auf breiter Front lanciert und gestärkt. Und zwar die Religion im öffentlichen Raum. Die Transformationsprozesse des Religiösen waren im Fokus, die Verschiebungen im religiösen Feld, welche sich in den letzten Dezennien durch Prozesse der Säkularisierung und der Migration ergeben haben.</w:t>
      </w:r>
      <w:r w:rsidR="000B50E3">
        <w:t xml:space="preserve"> Bereits die Ausschreibung, aber auch die bewilligten Projekte machten deutlich, dass hier sehr unterschiedliche Öffentlichkeiten im Spiel sind und untersu</w:t>
      </w:r>
      <w:r w:rsidR="0056066E">
        <w:t>cht werden sollen: Zunächst die</w:t>
      </w:r>
      <w:r w:rsidR="000B50E3">
        <w:t xml:space="preserve"> poli</w:t>
      </w:r>
      <w:r w:rsidR="0056066E">
        <w:t>tische Öffentlichkeit der Recht</w:t>
      </w:r>
      <w:r w:rsidR="000B50E3">
        <w:t>sprechung</w:t>
      </w:r>
      <w:r w:rsidR="00F7264F">
        <w:t xml:space="preserve"> und der Parteienpolitik</w:t>
      </w:r>
      <w:r w:rsidR="000B50E3">
        <w:t xml:space="preserve">, </w:t>
      </w:r>
      <w:r w:rsidR="00B51C60">
        <w:t>die mediale Öffentlichkeit, die Schule und ihr Verhältnis zur Religion, aber auch die öffentliche Relevanz der Religionsgemeinschaften, seien diese öffentlich-rechtlich, vereinsförmig oder gar nicht verfasst.</w:t>
      </w:r>
      <w:r w:rsidR="00557A43">
        <w:t xml:space="preserve"> Damit waren auch die Landeskirchen im Fokus und Gegenstand der Erforschung.</w:t>
      </w:r>
    </w:p>
    <w:p w14:paraId="1945D422" w14:textId="73580EB5" w:rsidR="00557A43" w:rsidRDefault="00557A43" w:rsidP="00B808E3">
      <w:r>
        <w:t>Wenn man sich die bewi</w:t>
      </w:r>
      <w:r w:rsidR="0038027C">
        <w:t xml:space="preserve">lligten Projekte anschaut, dann fällt auf, dass </w:t>
      </w:r>
      <w:r>
        <w:t xml:space="preserve">vor allem </w:t>
      </w:r>
      <w:r w:rsidR="0038027C">
        <w:t>religionswissenschaft</w:t>
      </w:r>
      <w:r w:rsidR="000E40FD">
        <w:t xml:space="preserve">lich ausgerichtete </w:t>
      </w:r>
      <w:r w:rsidR="005D5576">
        <w:t>Anträge</w:t>
      </w:r>
      <w:r w:rsidR="000E40FD">
        <w:t xml:space="preserve"> zum Zuge kamen</w:t>
      </w:r>
      <w:r w:rsidR="005D5576">
        <w:t>. Es wurden aber Wissenschaftlerinnen und Wissenschaftler gefördert</w:t>
      </w:r>
      <w:r>
        <w:t xml:space="preserve">, die sich bisher </w:t>
      </w:r>
      <w:r w:rsidR="005D5576">
        <w:t xml:space="preserve">kaum </w:t>
      </w:r>
      <w:r>
        <w:t xml:space="preserve">mit </w:t>
      </w:r>
      <w:r w:rsidR="00CE37E4">
        <w:t>Religion</w:t>
      </w:r>
      <w:r>
        <w:t xml:space="preserve"> befasst haben</w:t>
      </w:r>
      <w:r w:rsidR="00574B95">
        <w:t>. Das NFP 58 entpuppte sich als religionspolitisches Programm, das die Relig</w:t>
      </w:r>
      <w:r w:rsidR="00B65E8C">
        <w:t>i</w:t>
      </w:r>
      <w:r w:rsidR="00574B95">
        <w:t xml:space="preserve">onsforschung </w:t>
      </w:r>
      <w:r w:rsidR="00F33289">
        <w:t xml:space="preserve">multidisziplinär und </w:t>
      </w:r>
      <w:r w:rsidR="00CE37E4">
        <w:t xml:space="preserve">– </w:t>
      </w:r>
      <w:r w:rsidR="00F33289">
        <w:t xml:space="preserve">dem Anspruch nach </w:t>
      </w:r>
      <w:r w:rsidR="00CE37E4">
        <w:t xml:space="preserve">– </w:t>
      </w:r>
      <w:r w:rsidR="007B4552">
        <w:t xml:space="preserve">auch </w:t>
      </w:r>
      <w:r w:rsidR="00F33289">
        <w:t>inter</w:t>
      </w:r>
      <w:r w:rsidR="00574B95">
        <w:t>disziplin</w:t>
      </w:r>
      <w:r w:rsidR="00F33289">
        <w:t xml:space="preserve">är </w:t>
      </w:r>
      <w:r w:rsidR="00B65E8C">
        <w:t>fördern</w:t>
      </w:r>
      <w:r w:rsidR="00574B95">
        <w:t xml:space="preserve"> und dadurch nicht nur zu wichtigen </w:t>
      </w:r>
      <w:r w:rsidR="00B65E8C">
        <w:t>Ergebnissen führen</w:t>
      </w:r>
      <w:r w:rsidR="00574B95">
        <w:t>, sondern Religion zu einem prominenten Thema der universi</w:t>
      </w:r>
      <w:r w:rsidR="00B65E8C">
        <w:t>tären Öffentlichkeit promovieren soll</w:t>
      </w:r>
      <w:r w:rsidR="00574B95">
        <w:t>.</w:t>
      </w:r>
      <w:r w:rsidR="005C5ECF">
        <w:t xml:space="preserve"> </w:t>
      </w:r>
    </w:p>
    <w:p w14:paraId="38FD5420" w14:textId="77777777" w:rsidR="002E1E47" w:rsidRDefault="009421FD" w:rsidP="00B808E3">
      <w:r>
        <w:t>Das P</w:t>
      </w:r>
      <w:r w:rsidR="007D58F4">
        <w:t xml:space="preserve">ikante an der Sache </w:t>
      </w:r>
      <w:r w:rsidR="009A7D0F">
        <w:t>besteht vor allem darin</w:t>
      </w:r>
      <w:r w:rsidR="007D58F4">
        <w:t xml:space="preserve">, dass die Theologie </w:t>
      </w:r>
      <w:r w:rsidR="00F33289" w:rsidRPr="005C5ECF">
        <w:t xml:space="preserve">als solche </w:t>
      </w:r>
      <w:r w:rsidR="00F33289">
        <w:t>aussen vor blieb</w:t>
      </w:r>
      <w:r w:rsidR="007D58F4">
        <w:t xml:space="preserve">. </w:t>
      </w:r>
      <w:r w:rsidR="005C5ECF">
        <w:t>Theologisch ausgerichtete</w:t>
      </w:r>
      <w:r w:rsidR="007D58F4">
        <w:t xml:space="preserve"> Projekte waren erfolglos. Nur wer sein Projekt sozialwissenschaftlich </w:t>
      </w:r>
      <w:r w:rsidR="006E5A19">
        <w:t>formatierte</w:t>
      </w:r>
      <w:r w:rsidR="007D58F4">
        <w:t xml:space="preserve"> und mit Psychologinnen und Soziologen </w:t>
      </w:r>
      <w:r w:rsidR="007B4552">
        <w:t>zusammenspannte</w:t>
      </w:r>
      <w:r w:rsidR="007D58F4">
        <w:t xml:space="preserve">, kam zum Zuge. Die Theologie wurde von der Programmleitung </w:t>
      </w:r>
      <w:r w:rsidR="00C87ED1">
        <w:t xml:space="preserve">offenbar </w:t>
      </w:r>
      <w:r w:rsidR="007D58F4">
        <w:t>nicht als Akteur</w:t>
      </w:r>
      <w:r w:rsidR="007B4552">
        <w:t>in</w:t>
      </w:r>
      <w:r w:rsidR="007D58F4">
        <w:t xml:space="preserve">, sondern </w:t>
      </w:r>
      <w:r w:rsidR="00C87ED1">
        <w:t xml:space="preserve">eher </w:t>
      </w:r>
      <w:r w:rsidR="007D58F4">
        <w:t xml:space="preserve">als Gegenstand der Religionsforschung </w:t>
      </w:r>
      <w:r w:rsidR="00C87ED1">
        <w:t>verstanden</w:t>
      </w:r>
      <w:r w:rsidR="007D58F4">
        <w:t>.</w:t>
      </w:r>
      <w:r w:rsidR="00B96856">
        <w:t xml:space="preserve"> Dies wird etwa daran deutlich, dass in Projekten über die Gefängnisseelsorge oder den Religionsunterricht der Kontakt mit den entsprechenden </w:t>
      </w:r>
      <w:r w:rsidR="00C605D9">
        <w:t xml:space="preserve">etablierten </w:t>
      </w:r>
      <w:r w:rsidR="00B96856">
        <w:t xml:space="preserve">theologischen Disziplinen </w:t>
      </w:r>
      <w:r w:rsidR="00F71BC6">
        <w:t xml:space="preserve">und universitären Fachvertretern </w:t>
      </w:r>
      <w:r w:rsidR="00B96856">
        <w:t>nicht gesucht wurde.</w:t>
      </w:r>
      <w:r w:rsidR="00575330">
        <w:t xml:space="preserve"> Sichtbar wird dieser Vorbehalt gegenüber der Theologie auch dadurch, dass der Schlussbericht von vier Religionswissenschaftler/innen und drei Juristen verantwortet wird. Theologinnen und Theologen </w:t>
      </w:r>
      <w:r w:rsidR="00F01ECD">
        <w:t>wurden</w:t>
      </w:r>
      <w:r w:rsidR="00575330">
        <w:t xml:space="preserve"> auch </w:t>
      </w:r>
      <w:r w:rsidR="00F01ECD">
        <w:t>für die</w:t>
      </w:r>
      <w:r w:rsidR="002A6A8A">
        <w:t xml:space="preserve"> </w:t>
      </w:r>
      <w:r w:rsidR="00F01ECD">
        <w:t xml:space="preserve">Auswertung und die Synthese </w:t>
      </w:r>
      <w:r w:rsidR="002A6A8A">
        <w:t xml:space="preserve">der Ergebnisse </w:t>
      </w:r>
      <w:r w:rsidR="00575330">
        <w:t xml:space="preserve">nicht </w:t>
      </w:r>
      <w:r w:rsidR="00F01ECD">
        <w:t>einbezogen</w:t>
      </w:r>
      <w:r w:rsidR="00575330">
        <w:t>.</w:t>
      </w:r>
      <w:r w:rsidR="00F01ECD">
        <w:t xml:space="preserve"> Es scheint, als hätte die </w:t>
      </w:r>
      <w:r w:rsidR="00B96856">
        <w:t xml:space="preserve">Theologie </w:t>
      </w:r>
      <w:r w:rsidR="00F01ECD">
        <w:t xml:space="preserve">in Bezug auf </w:t>
      </w:r>
      <w:r w:rsidR="00B96856">
        <w:t>die wissenschaftliche Beschäftigung mit Religion im öffentlichen Raum zur Zeit schlechte Karten.</w:t>
      </w:r>
      <w:r w:rsidR="0040619C">
        <w:t xml:space="preserve"> Sie hat </w:t>
      </w:r>
      <w:r w:rsidR="00F01ECD">
        <w:t xml:space="preserve">offenkundig </w:t>
      </w:r>
      <w:r w:rsidR="0040619C">
        <w:t>ein Imageproblem.</w:t>
      </w:r>
    </w:p>
    <w:p w14:paraId="2B9D4FF9" w14:textId="0CE2256B" w:rsidR="002E1E47" w:rsidRDefault="002E1E47" w:rsidP="002E1E47">
      <w:pPr>
        <w:pStyle w:val="berschrift1"/>
      </w:pPr>
      <w:r>
        <w:t>Strategien zur Stärkung der öffentlichen Relevanz der Theologie</w:t>
      </w:r>
    </w:p>
    <w:p w14:paraId="134DDD35" w14:textId="77AFC12B" w:rsidR="00B96856" w:rsidRDefault="002E1E47" w:rsidP="00B808E3">
      <w:r>
        <w:t xml:space="preserve"> </w:t>
      </w:r>
      <w:r w:rsidR="00AD727B">
        <w:t xml:space="preserve">Was ist zu tun? Wie ist auf dieses </w:t>
      </w:r>
      <w:r w:rsidR="00E07905">
        <w:t xml:space="preserve">Börsentief </w:t>
      </w:r>
      <w:r w:rsidR="00AD727B">
        <w:t xml:space="preserve">zu reagieren? </w:t>
      </w:r>
      <w:r w:rsidR="008172D9">
        <w:t>Ich schlage vier Teil-Strategien vor:</w:t>
      </w:r>
    </w:p>
    <w:p w14:paraId="22E49ECF" w14:textId="6B800B66" w:rsidR="008172D9" w:rsidRDefault="008172D9" w:rsidP="008172D9">
      <w:pPr>
        <w:pStyle w:val="Listenabsatz"/>
        <w:numPr>
          <w:ilvl w:val="0"/>
          <w:numId w:val="1"/>
        </w:numPr>
      </w:pPr>
      <w:r>
        <w:t xml:space="preserve">Stärkung des </w:t>
      </w:r>
      <w:r w:rsidR="0040619C">
        <w:t>Theologie als Marke</w:t>
      </w:r>
    </w:p>
    <w:p w14:paraId="0BA457B8" w14:textId="77777777" w:rsidR="008172D9" w:rsidRDefault="008172D9" w:rsidP="008172D9">
      <w:pPr>
        <w:pStyle w:val="Listenabsatz"/>
        <w:numPr>
          <w:ilvl w:val="0"/>
          <w:numId w:val="1"/>
        </w:numPr>
      </w:pPr>
      <w:r>
        <w:t>Schärfung des Theologiebegriffs</w:t>
      </w:r>
    </w:p>
    <w:p w14:paraId="3AC5F121" w14:textId="5A8ECCFC" w:rsidR="008172D9" w:rsidRDefault="008172D9" w:rsidP="008172D9">
      <w:pPr>
        <w:pStyle w:val="Listenabsatz"/>
        <w:numPr>
          <w:ilvl w:val="0"/>
          <w:numId w:val="1"/>
        </w:numPr>
      </w:pPr>
      <w:r>
        <w:t>Offensive Kooperationen und Vernetzungen</w:t>
      </w:r>
    </w:p>
    <w:p w14:paraId="335AC381" w14:textId="3C0AEB2E" w:rsidR="008172D9" w:rsidRDefault="008172D9" w:rsidP="008172D9">
      <w:pPr>
        <w:pStyle w:val="Listenabsatz"/>
        <w:numPr>
          <w:ilvl w:val="0"/>
          <w:numId w:val="1"/>
        </w:numPr>
      </w:pPr>
      <w:r>
        <w:t>Stärkung des Kirchen- und Gegenwartsbezugs</w:t>
      </w:r>
    </w:p>
    <w:p w14:paraId="1220B592" w14:textId="4B9A2B99" w:rsidR="008172D9" w:rsidRDefault="008172D9" w:rsidP="008172D9">
      <w:r>
        <w:t>Ich führe die einzelnen Strategien kurz aus:</w:t>
      </w:r>
    </w:p>
    <w:p w14:paraId="27AC5494" w14:textId="2B43A894" w:rsidR="00E07905" w:rsidRDefault="008172D9" w:rsidP="002E1E47">
      <w:pPr>
        <w:pStyle w:val="berschrift2"/>
      </w:pPr>
      <w:r>
        <w:t xml:space="preserve">Stärkung </w:t>
      </w:r>
      <w:r w:rsidR="0040619C">
        <w:t xml:space="preserve">der Theologie als </w:t>
      </w:r>
      <w:r w:rsidR="0040619C" w:rsidRPr="002E1E47">
        <w:t>Marke</w:t>
      </w:r>
    </w:p>
    <w:p w14:paraId="4910812F" w14:textId="287C1847" w:rsidR="0006289A" w:rsidRDefault="0006289A" w:rsidP="0006289A">
      <w:r>
        <w:t xml:space="preserve">Ich stimme mit Stefan Huber darin überein, dass </w:t>
      </w:r>
      <w:r w:rsidR="00380F60">
        <w:t xml:space="preserve">es </w:t>
      </w:r>
      <w:r w:rsidR="00AF55EA">
        <w:t xml:space="preserve">das eigene, sprich: das theologische Profil </w:t>
      </w:r>
      <w:r w:rsidR="00380F60">
        <w:t xml:space="preserve">zu </w:t>
      </w:r>
      <w:r w:rsidR="00AF55EA">
        <w:t xml:space="preserve">schärfen </w:t>
      </w:r>
      <w:r w:rsidR="00380F60">
        <w:t>gilt</w:t>
      </w:r>
      <w:r w:rsidR="00AF55EA">
        <w:t xml:space="preserve">. </w:t>
      </w:r>
      <w:r w:rsidR="00380F60">
        <w:t xml:space="preserve">Daher </w:t>
      </w:r>
      <w:r w:rsidR="00AF55EA">
        <w:t xml:space="preserve">leuchtet mir sein terminologischer Vorschlag der „empirischen Theologie“ zunächst ein. </w:t>
      </w:r>
      <w:r w:rsidR="00D525D2">
        <w:t>Die meisten Praktischen Theolog</w:t>
      </w:r>
      <w:r w:rsidR="00AF55EA">
        <w:t xml:space="preserve">innen </w:t>
      </w:r>
      <w:r w:rsidR="00D525D2">
        <w:t xml:space="preserve">und Theologen </w:t>
      </w:r>
      <w:r w:rsidR="00AF55EA">
        <w:t xml:space="preserve">– mich </w:t>
      </w:r>
      <w:r w:rsidR="00D525D2">
        <w:t xml:space="preserve">selber </w:t>
      </w:r>
      <w:r w:rsidR="00AF55EA">
        <w:t xml:space="preserve">eingeschlossen – sind fröhliche Dilettanten in vielen Bezugsdisziplinen und Methoden, deren sie sich für ihre Forschung bedienen. So führe ich seit Jahren Interviews und </w:t>
      </w:r>
      <w:r w:rsidR="00D525D2">
        <w:t>analysiere</w:t>
      </w:r>
      <w:r w:rsidR="00AF55EA">
        <w:t xml:space="preserve"> diese, obwohl ich kein ausgebildeter Sozial- oder Kulturwissenschaftler bin.</w:t>
      </w:r>
      <w:r w:rsidR="0068639D">
        <w:t xml:space="preserve"> Oder ich hantiere mit </w:t>
      </w:r>
      <w:r w:rsidR="00D525D2">
        <w:t>Theoriemodellen der Theaterwissenschaften und der</w:t>
      </w:r>
      <w:r w:rsidR="0068639D">
        <w:t xml:space="preserve"> Performance-Studies, um den Gottesdienst</w:t>
      </w:r>
      <w:r w:rsidR="00380F60">
        <w:t xml:space="preserve"> kulturwissenschaftlich lesen und interpretieren zu können, </w:t>
      </w:r>
      <w:r w:rsidR="0068639D">
        <w:t>ohne diese Fächer grundständig studiert zu haben.</w:t>
      </w:r>
    </w:p>
    <w:p w14:paraId="6C9D23DA" w14:textId="19E76EE9" w:rsidR="00380F60" w:rsidRDefault="00380F60" w:rsidP="00BB3BE9">
      <w:r>
        <w:t xml:space="preserve">Ein solcher Dilettantismus ist dann legitim, wenn </w:t>
      </w:r>
      <w:r w:rsidR="00BB3BE9">
        <w:t xml:space="preserve">(1) </w:t>
      </w:r>
      <w:r>
        <w:t>die Methoden und Ziele des eigenen Faches – sprich: der Praktischen Theologie – die jeweilige Forschung bestimmen,</w:t>
      </w:r>
      <w:r w:rsidR="00BB3BE9">
        <w:t xml:space="preserve"> (2) </w:t>
      </w:r>
      <w:r>
        <w:t>die Forscherin sich ihrer Grenzen in Bezug auf die verwendeten Forschungsmethoden und Bezugswissenschaften bewusst ist und</w:t>
      </w:r>
      <w:r w:rsidR="00BB3BE9">
        <w:t xml:space="preserve"> (3) </w:t>
      </w:r>
      <w:r>
        <w:t>sie gleichwohl eine möglichst grosse, dem Forschungsgegenstand angepasste disziplinäre</w:t>
      </w:r>
      <w:r w:rsidR="002927BA">
        <w:t xml:space="preserve"> und methodische</w:t>
      </w:r>
      <w:r>
        <w:t xml:space="preserve"> </w:t>
      </w:r>
      <w:r w:rsidR="00A36C86">
        <w:t>Expertise</w:t>
      </w:r>
      <w:r>
        <w:t xml:space="preserve"> zu erreichen versucht.</w:t>
      </w:r>
    </w:p>
    <w:p w14:paraId="6BC376F6" w14:textId="5010BE1F" w:rsidR="00A36C86" w:rsidRDefault="002927BA" w:rsidP="005B400A">
      <w:r>
        <w:t xml:space="preserve">So sollte, wer in seiner theologischen Master- oder Promotionsarbeit Leitfaden-Interviews führt oder einen Fragebogen erstellt, sich zuerst das Handwerk der qualitativen oder quantitativen </w:t>
      </w:r>
      <w:r w:rsidR="00835705">
        <w:t>Sozialf</w:t>
      </w:r>
      <w:r>
        <w:t>orschung gründlich angeeignet haben. Dasselbe gilt</w:t>
      </w:r>
      <w:r w:rsidRPr="00835705">
        <w:rPr>
          <w:i/>
        </w:rPr>
        <w:t xml:space="preserve"> </w:t>
      </w:r>
      <w:r w:rsidR="00BB3BE9">
        <w:t>natürlich auch</w:t>
      </w:r>
      <w:r w:rsidR="00BB3BE9" w:rsidRPr="00BB3BE9">
        <w:t xml:space="preserve"> </w:t>
      </w:r>
      <w:r w:rsidR="00BB3BE9">
        <w:t xml:space="preserve">oder noch mehr </w:t>
      </w:r>
      <w:r>
        <w:t xml:space="preserve">für diejenigen, die solche Arbeiten </w:t>
      </w:r>
      <w:r w:rsidR="00835705">
        <w:t>betreuen.</w:t>
      </w:r>
      <w:r w:rsidR="002D6D7E">
        <w:t xml:space="preserve"> </w:t>
      </w:r>
      <w:r w:rsidR="00A36C86" w:rsidRPr="002D6D7E">
        <w:t xml:space="preserve">Gleichwohl </w:t>
      </w:r>
      <w:r w:rsidR="00A36C86">
        <w:t xml:space="preserve">sollte das Gesamtprofil der Arbeit in erkennbarer Weise ein praktisch-theologisches </w:t>
      </w:r>
      <w:r w:rsidR="00341FB1">
        <w:t>sein</w:t>
      </w:r>
      <w:r w:rsidR="00A36C86">
        <w:t xml:space="preserve">. Dies </w:t>
      </w:r>
      <w:r w:rsidR="00341FB1">
        <w:t>ist</w:t>
      </w:r>
      <w:r w:rsidR="00A36C86">
        <w:t xml:space="preserve"> es dadurch, dass sie</w:t>
      </w:r>
      <w:r w:rsidR="00337F9D">
        <w:t xml:space="preserve"> (1)</w:t>
      </w:r>
      <w:r w:rsidR="002D6D7E">
        <w:t xml:space="preserve"> </w:t>
      </w:r>
      <w:r w:rsidR="00A36C86" w:rsidRPr="00C16A3F">
        <w:t>gelebte Religion</w:t>
      </w:r>
      <w:r w:rsidR="002D6D7E" w:rsidRPr="00337F9D">
        <w:rPr>
          <w:rStyle w:val="Funotenzeichen"/>
        </w:rPr>
        <w:footnoteReference w:id="1"/>
      </w:r>
      <w:r w:rsidR="00A36C86" w:rsidRPr="002D6D7E">
        <w:rPr>
          <w:i/>
        </w:rPr>
        <w:t xml:space="preserve"> </w:t>
      </w:r>
      <w:r w:rsidR="00A36C86">
        <w:t>als Frömmigkeitspraxis und Sinndeutung in individueller, kollektiv-kirchlicher oder gesellschaftlicher Ausprägung zum Gegenstand hat</w:t>
      </w:r>
      <w:r w:rsidR="00387313">
        <w:rPr>
          <w:rStyle w:val="Funotenzeichen"/>
        </w:rPr>
        <w:footnoteReference w:id="2"/>
      </w:r>
      <w:r w:rsidR="00A36C86">
        <w:t>,</w:t>
      </w:r>
      <w:r w:rsidR="007B315A">
        <w:t xml:space="preserve"> (2) </w:t>
      </w:r>
      <w:r w:rsidR="00A36C86">
        <w:t>diese in Auseinandersetzung mit biblischen Texten, de</w:t>
      </w:r>
      <w:r w:rsidR="00B26945">
        <w:t>r Christentumsgeschichte und der</w:t>
      </w:r>
      <w:r w:rsidR="00A36C86">
        <w:t xml:space="preserve"> </w:t>
      </w:r>
      <w:r w:rsidR="00B26945">
        <w:t>theologischen Grammatik des Glaubens</w:t>
      </w:r>
      <w:r w:rsidR="00A36C86">
        <w:t xml:space="preserve"> zu deuten sucht</w:t>
      </w:r>
      <w:r w:rsidR="00C16A3F">
        <w:rPr>
          <w:rStyle w:val="Funotenzeichen"/>
        </w:rPr>
        <w:footnoteReference w:id="3"/>
      </w:r>
      <w:r w:rsidR="00A36C86">
        <w:t>, um</w:t>
      </w:r>
      <w:r w:rsidR="005B400A">
        <w:t xml:space="preserve"> (3) </w:t>
      </w:r>
      <w:r w:rsidR="00A36C86">
        <w:t>Kriterien und Entscheidungsg</w:t>
      </w:r>
      <w:r w:rsidR="002869DA">
        <w:t xml:space="preserve">rundlagen für eine </w:t>
      </w:r>
      <w:r w:rsidR="00EF6EEF">
        <w:t xml:space="preserve">theologisch verantwortete und </w:t>
      </w:r>
      <w:r w:rsidR="005B400A">
        <w:t>auch für kritische Zeitgenossinnen und -genossen</w:t>
      </w:r>
      <w:r w:rsidR="00EF6EEF">
        <w:t xml:space="preserve"> </w:t>
      </w:r>
      <w:r w:rsidR="00AC2E75">
        <w:t xml:space="preserve">nachvollziehbare und </w:t>
      </w:r>
      <w:r w:rsidR="00EF6EEF">
        <w:t xml:space="preserve">relevante religiöse </w:t>
      </w:r>
      <w:r w:rsidR="00AC2E75">
        <w:t xml:space="preserve">Sinndeutung und </w:t>
      </w:r>
      <w:r w:rsidR="00EF6EEF">
        <w:t>Praxis bereitstellen zu können.</w:t>
      </w:r>
      <w:r w:rsidR="00A36C86">
        <w:t xml:space="preserve"> </w:t>
      </w:r>
    </w:p>
    <w:p w14:paraId="5CC1324D" w14:textId="77777777" w:rsidR="00B26945" w:rsidRDefault="00B26945" w:rsidP="00EF6EEF"/>
    <w:p w14:paraId="09BE6311" w14:textId="366AD51F" w:rsidR="00835705" w:rsidRPr="0006289A" w:rsidRDefault="00835705" w:rsidP="002927BA">
      <w:r>
        <w:t>Kurzum: Es scheint mir unklug, wenn wir uns verste</w:t>
      </w:r>
      <w:r w:rsidR="00A36C86">
        <w:t>llen und uns andersdisziplinäre</w:t>
      </w:r>
      <w:r w:rsidR="00EF6EEF">
        <w:t xml:space="preserve"> Hüte </w:t>
      </w:r>
      <w:r w:rsidR="007B4552">
        <w:t>aufsetzen</w:t>
      </w:r>
      <w:r w:rsidR="00EF6EEF">
        <w:t xml:space="preserve">, um in der universitären Öffentlichkeit Anerkennung zu finden, auch wenn sich dies – wie das Beispiel des NFP 58 zeigt – kurzfristig auszahlen kann. Mittel- und langfristig ist dies aber aus den von Stefan Huber genannten Gründen ein gefährliches Spiel. Die Theologie – auch die Praktische Theologie – muss </w:t>
      </w:r>
      <w:r w:rsidR="007B4552">
        <w:t xml:space="preserve">die eigene Marke stärken, </w:t>
      </w:r>
      <w:r w:rsidR="00BF1806">
        <w:t>das eigene disziplinäre Profil offensiv kommunizieren</w:t>
      </w:r>
      <w:r w:rsidR="00EF6EEF">
        <w:t xml:space="preserve">, </w:t>
      </w:r>
      <w:r w:rsidR="00BF1806">
        <w:t xml:space="preserve">um nicht leichthin </w:t>
      </w:r>
      <w:r w:rsidR="00EF6EEF">
        <w:t>unter andere Disziplinen</w:t>
      </w:r>
      <w:r w:rsidR="005B400A" w:rsidRPr="005B400A">
        <w:t xml:space="preserve"> </w:t>
      </w:r>
      <w:r w:rsidR="005B400A">
        <w:t>subsummiert zu werden</w:t>
      </w:r>
      <w:r w:rsidR="00BF1806">
        <w:t xml:space="preserve">. Sonst sind es die Religions- und Kulturwissenschaftlerinnen, die </w:t>
      </w:r>
      <w:r w:rsidR="00341FB1">
        <w:t xml:space="preserve">im Auftrag etwa des Nationalfonds </w:t>
      </w:r>
      <w:r w:rsidR="00BF1806">
        <w:t>unsere Projekte – nach ihren eigenen fachlichen Massstäben – begutachten, was, wie viele von uns immer wieder schmerzlich erfahren haben, zu erstaunlichen Kommentaren und Urteilen führen kann.</w:t>
      </w:r>
      <w:r w:rsidR="00341FB1">
        <w:t xml:space="preserve"> Der Zuschnitt unserer Forschung sollte ein erkennbar theologischer sein, sodass es sich eine Forschungskommission nicht leisten kann, die theologische Expertise für deren Beurteilung aussen vor zu lassen.</w:t>
      </w:r>
    </w:p>
    <w:p w14:paraId="4F291504" w14:textId="1E0B9010" w:rsidR="00E07905" w:rsidRDefault="00E07905" w:rsidP="00ED008F">
      <w:pPr>
        <w:pStyle w:val="berschrift2"/>
      </w:pPr>
      <w:r>
        <w:t xml:space="preserve">Schärfung des </w:t>
      </w:r>
      <w:r w:rsidRPr="00ED008F">
        <w:t>Theologiebegriffs</w:t>
      </w:r>
    </w:p>
    <w:p w14:paraId="5641E3D8" w14:textId="048BB02B" w:rsidR="00370FF1" w:rsidRDefault="00A30136" w:rsidP="00DB669E">
      <w:r>
        <w:t>Worin besteht nun aber dieser spezifische, auch von aussen erkennbare theologische Zuschnitt? Ich habe für die Praktische Theologie eine mögliche Bestimmung vorgenommen.</w:t>
      </w:r>
      <w:r w:rsidR="002B03CE">
        <w:t xml:space="preserve"> Insgesamt ist dieser aber strittig. </w:t>
      </w:r>
      <w:r w:rsidR="000D489B">
        <w:t xml:space="preserve">Unter Theologie wird auch binnentheologisch sehr Unterschiedliches verstanden. So ist die Spannbreite zwischen </w:t>
      </w:r>
      <w:r w:rsidR="002B03CE">
        <w:t>Friedrich Schl</w:t>
      </w:r>
      <w:r w:rsidR="00EB51EF">
        <w:t>eiermachers subjekttheoretischem</w:t>
      </w:r>
      <w:r w:rsidR="002B03CE">
        <w:t xml:space="preserve"> und Karl Barths</w:t>
      </w:r>
      <w:r w:rsidR="000D489B">
        <w:t xml:space="preserve"> </w:t>
      </w:r>
      <w:r w:rsidR="00EB51EF">
        <w:t>‚objektivem</w:t>
      </w:r>
      <w:r w:rsidR="002B03CE">
        <w:t>’ Theologie</w:t>
      </w:r>
      <w:r w:rsidR="00EB51EF">
        <w:t>begriff</w:t>
      </w:r>
      <w:r w:rsidR="002B03CE">
        <w:t xml:space="preserve"> </w:t>
      </w:r>
      <w:r w:rsidR="000D489B">
        <w:t>denkbar weit.</w:t>
      </w:r>
      <w:r w:rsidR="002B03CE">
        <w:t xml:space="preserve"> Gleichzeitig markieren die beiden den Spielraum, innerhalb dessen auch heute noch </w:t>
      </w:r>
      <w:r w:rsidR="00F31947">
        <w:t xml:space="preserve">disziplinäre Bestimmungen der Theologie </w:t>
      </w:r>
      <w:r w:rsidR="00CA0D94">
        <w:t xml:space="preserve">vertreten und plausibel gemacht werden können, auch und gerade </w:t>
      </w:r>
      <w:r w:rsidR="00370FF1">
        <w:t>gegenüber einer universitären und gesellschaftlichen Öffentlichkeit.</w:t>
      </w:r>
    </w:p>
    <w:p w14:paraId="24C353A3" w14:textId="77777777" w:rsidR="004E682C" w:rsidRDefault="00A9649D" w:rsidP="00DB669E">
      <w:r>
        <w:t xml:space="preserve">Beide Positionen stimmen </w:t>
      </w:r>
      <w:r w:rsidR="00365256">
        <w:t xml:space="preserve">insbesondere </w:t>
      </w:r>
      <w:r>
        <w:t xml:space="preserve">darin überein, </w:t>
      </w:r>
      <w:r w:rsidR="00064908">
        <w:t>dass die Theologie auf einen bestimmten Gegenstand bezogen ist, dem sie in spezifischer Weise verpflichtet ist.</w:t>
      </w:r>
      <w:r w:rsidR="00045746">
        <w:t xml:space="preserve"> </w:t>
      </w:r>
      <w:r w:rsidR="00064908">
        <w:t>Nach Schleiermacher ist die Theologie bekanntlich «eine positive Wissenschaft, deren verschiedene Teile zu einem Ganzen nur verbunden sind durch die gemeinsame Beziehung auf eine bestimmte Glaubensweise: die der christlichen also auf das Christentum»</w:t>
      </w:r>
      <w:r w:rsidR="00972906">
        <w:rPr>
          <w:rStyle w:val="Funotenzeichen"/>
        </w:rPr>
        <w:footnoteReference w:id="4"/>
      </w:r>
      <w:r w:rsidR="00064908">
        <w:t>.</w:t>
      </w:r>
      <w:r w:rsidR="003E6C84">
        <w:t xml:space="preserve"> </w:t>
      </w:r>
      <w:r w:rsidR="00064908">
        <w:t>Zudem verbindet sich dieser Gegenstandsbezug nach Schleiermacher mit einer Aufgabe, wenn er die christliche Theologie</w:t>
      </w:r>
      <w:r w:rsidR="003E6C84">
        <w:t xml:space="preserve"> als «Inbegriff derjenigen wissenschaftlichen</w:t>
      </w:r>
      <w:r w:rsidR="00064908">
        <w:t xml:space="preserve"> Kenntnisse und Kunstregeln (bestimmt), ohne deren Besitz und Gebrauch eine zusammenstimmende Leitung der christlichen Kirche </w:t>
      </w:r>
      <w:r w:rsidR="003E6C84">
        <w:t>[</w:t>
      </w:r>
      <w:r w:rsidR="00064908">
        <w:t>…</w:t>
      </w:r>
      <w:r w:rsidR="003E6C84">
        <w:t>]</w:t>
      </w:r>
      <w:r w:rsidR="00064908">
        <w:t xml:space="preserve"> nicht möglich ist»</w:t>
      </w:r>
      <w:r w:rsidR="003E6C84">
        <w:rPr>
          <w:rStyle w:val="Funotenzeichen"/>
        </w:rPr>
        <w:footnoteReference w:id="5"/>
      </w:r>
      <w:r w:rsidR="003E6C84">
        <w:t>.</w:t>
      </w:r>
      <w:r w:rsidR="004E682C">
        <w:t xml:space="preserve"> </w:t>
      </w:r>
    </w:p>
    <w:p w14:paraId="3EC1207E" w14:textId="2FF523D5" w:rsidR="00EB4DC2" w:rsidRDefault="00064908" w:rsidP="00564BD6">
      <w:r>
        <w:t>Christliche Theologie wäre demnach dadurch bestimmt, dass sie</w:t>
      </w:r>
      <w:r w:rsidR="004E682C">
        <w:t xml:space="preserve"> </w:t>
      </w:r>
      <w:r>
        <w:t>a</w:t>
      </w:r>
      <w:r w:rsidR="007B4552">
        <w:t>uf eine bestimmte Glaubensweise –</w:t>
      </w:r>
      <w:r>
        <w:t xml:space="preserve"> das Christentum im Allgemeinen und die Kirche im Besonderen </w:t>
      </w:r>
      <w:r w:rsidR="007B4552">
        <w:t xml:space="preserve">– </w:t>
      </w:r>
      <w:r>
        <w:t>bezogen ist,</w:t>
      </w:r>
      <w:r w:rsidR="004E682C">
        <w:t xml:space="preserve"> </w:t>
      </w:r>
      <w:r>
        <w:t>diesen Bezug als Aufgabe erkennt, diese bestimmte Glaubensweise als Sinndeutung und religiöse Praxis kritisch zu reflektieren und zu orientieren, indem sie Kriterien</w:t>
      </w:r>
      <w:r w:rsidR="00EB4DC2">
        <w:t xml:space="preserve"> erarbeitet für eine der christlichen Freiheit entsprechende Glaubensweise</w:t>
      </w:r>
      <w:r w:rsidR="00F157A1">
        <w:t>.</w:t>
      </w:r>
      <w:r w:rsidR="00BE49F1">
        <w:rPr>
          <w:rStyle w:val="Funotenzeichen"/>
        </w:rPr>
        <w:footnoteReference w:id="6"/>
      </w:r>
      <w:r w:rsidR="00564BD6">
        <w:t xml:space="preserve"> </w:t>
      </w:r>
      <w:r w:rsidR="00EB4DC2">
        <w:t xml:space="preserve">Dieser Aufgabe wird sie allerdings nur dann gerecht, wenn sie nicht selber als religiöse Akteurin auftritt und sich nicht vor den Karren partikularer Interessen spannen lässt, sondern sich die Freiheit der </w:t>
      </w:r>
      <w:r w:rsidR="00F976CD">
        <w:t>Forschung und den Raum der Nachdenklichkeit bewahrt.</w:t>
      </w:r>
    </w:p>
    <w:p w14:paraId="0E6F7ACD" w14:textId="5A2378D9" w:rsidR="00F976CD" w:rsidRDefault="00F976CD" w:rsidP="00F976CD">
      <w:r>
        <w:t>Mir leuchtet daher Stefan Hubers Bestimmung der empirischen Theologie insofern ein, als dies</w:t>
      </w:r>
      <w:r w:rsidR="00BB33AC">
        <w:t>e</w:t>
      </w:r>
      <w:r>
        <w:t xml:space="preserve"> qua Theologie auf eine bestimmte Glaubensweise bezogen </w:t>
      </w:r>
      <w:r w:rsidR="00564BD6">
        <w:t xml:space="preserve">ist </w:t>
      </w:r>
      <w:r>
        <w:t>und diesen Bezug als Aufgabe der „Spiegelung“, der kritisch-solidarischen Reflexion begreift.</w:t>
      </w:r>
    </w:p>
    <w:p w14:paraId="350AD3FD" w14:textId="242138F0" w:rsidR="00F976CD" w:rsidRDefault="00F976CD" w:rsidP="00F976CD">
      <w:r>
        <w:t xml:space="preserve">Allerdings wäre mir wichtig, deutlicher als der von ihm angeführte </w:t>
      </w:r>
      <w:r w:rsidR="009E2D5B">
        <w:t>Kuno Füssel</w:t>
      </w:r>
      <w:r>
        <w:t xml:space="preserve"> zwischen Theologie und Religion bzw. Glauben zu unterscheiden. Die Subjekte der Theologie als </w:t>
      </w:r>
      <w:r w:rsidR="004E5853">
        <w:t xml:space="preserve">einer </w:t>
      </w:r>
      <w:r>
        <w:t>wissenschaftliche</w:t>
      </w:r>
      <w:r w:rsidR="004E5853">
        <w:t>n</w:t>
      </w:r>
      <w:r>
        <w:t xml:space="preserve"> Disziplin sind nicht die Gläubigen als solche. Die </w:t>
      </w:r>
      <w:r w:rsidR="00944A74">
        <w:t>Anerkennung der Theologie als akademische Disziplin in der universitären Öffentlichkeit hängt nicht zuletzt davon ab, ob und in welcher Weise sie als Forum der kritischen Religionsforschung in Bezug auf das Christentum wahrnehmbar wird.</w:t>
      </w:r>
    </w:p>
    <w:p w14:paraId="623CC65F" w14:textId="77777777" w:rsidR="00944A74" w:rsidRDefault="00944A74" w:rsidP="007B4BB4">
      <w:pPr>
        <w:pStyle w:val="berschrift2"/>
      </w:pPr>
      <w:r>
        <w:t>Offensive Kooperationen und Vernetzungen</w:t>
      </w:r>
    </w:p>
    <w:p w14:paraId="690FA0E2" w14:textId="028E22B7" w:rsidR="003B4269" w:rsidRDefault="00A36AB3" w:rsidP="008252E3">
      <w:r>
        <w:t xml:space="preserve">Die Stärkung der Marke Theologie und die gemeinsame Klärung des Theologiebegriffs </w:t>
      </w:r>
      <w:r w:rsidR="003D21C0">
        <w:t xml:space="preserve">führen </w:t>
      </w:r>
      <w:r w:rsidR="00AF2335">
        <w:t xml:space="preserve">keineswegs </w:t>
      </w:r>
      <w:r w:rsidR="00AF2335" w:rsidRPr="00AF2335">
        <w:rPr>
          <w:i/>
        </w:rPr>
        <w:t xml:space="preserve">eo ipso </w:t>
      </w:r>
      <w:r w:rsidR="003D21C0">
        <w:t xml:space="preserve">zu </w:t>
      </w:r>
      <w:r>
        <w:t>einer disziplinären Abschottung.</w:t>
      </w:r>
      <w:r w:rsidR="00182D14">
        <w:t xml:space="preserve"> Im Gegenteil:</w:t>
      </w:r>
      <w:r w:rsidR="00262974">
        <w:t xml:space="preserve"> </w:t>
      </w:r>
      <w:r w:rsidR="00182D14">
        <w:t>E</w:t>
      </w:r>
      <w:r w:rsidR="003D21C0">
        <w:t xml:space="preserve">rkennbare disziplinäre Profile sind für Kooperationen mit anderen Fächern </w:t>
      </w:r>
      <w:r w:rsidR="00182D14">
        <w:t>hilfreich</w:t>
      </w:r>
      <w:r w:rsidR="003D21C0">
        <w:t xml:space="preserve"> und versprechen einen perspektivischen Zugewinn</w:t>
      </w:r>
      <w:r w:rsidR="00860C74">
        <w:t>, eine zuweilen heilsame Komplexitätssteigerung</w:t>
      </w:r>
      <w:r w:rsidR="003D21C0">
        <w:t>. Zudem haben disziplinäre Grenzgänge</w:t>
      </w:r>
      <w:r w:rsidR="00E818C9">
        <w:t xml:space="preserve"> in der Theologie eine lange und </w:t>
      </w:r>
      <w:r w:rsidR="00A14500">
        <w:t>bewährte</w:t>
      </w:r>
      <w:r w:rsidR="00E818C9">
        <w:t xml:space="preserve"> Tradition. </w:t>
      </w:r>
      <w:r w:rsidR="00910BF6">
        <w:t xml:space="preserve">Sowohl </w:t>
      </w:r>
      <w:r w:rsidR="00656CBB">
        <w:t>Exegetinnen</w:t>
      </w:r>
      <w:r w:rsidR="00262974">
        <w:t xml:space="preserve"> </w:t>
      </w:r>
      <w:r w:rsidR="00910BF6">
        <w:t xml:space="preserve">wie </w:t>
      </w:r>
      <w:r w:rsidR="00262974">
        <w:t xml:space="preserve">Kirchengeschichtler, Systematikerinnen </w:t>
      </w:r>
      <w:r w:rsidR="00910BF6">
        <w:t xml:space="preserve">wie </w:t>
      </w:r>
      <w:r w:rsidR="00262974">
        <w:t xml:space="preserve">Praktische Theologen </w:t>
      </w:r>
      <w:r w:rsidR="00910BF6">
        <w:t xml:space="preserve">sind </w:t>
      </w:r>
      <w:r w:rsidR="00262974">
        <w:t xml:space="preserve">in </w:t>
      </w:r>
      <w:r w:rsidR="00E818C9">
        <w:t xml:space="preserve">Arbeitsgruppen und </w:t>
      </w:r>
      <w:r w:rsidR="00262974">
        <w:t>Netzwerke</w:t>
      </w:r>
      <w:r w:rsidR="005461E3">
        <w:t>n</w:t>
      </w:r>
      <w:r w:rsidR="00262974">
        <w:t xml:space="preserve"> </w:t>
      </w:r>
      <w:r w:rsidR="00E818C9">
        <w:t xml:space="preserve">mit Nichttheologinnen </w:t>
      </w:r>
      <w:r w:rsidR="00262974">
        <w:t>eingebunden, kooperieren mit Kolleginnen anderer Fächer und Fakultät</w:t>
      </w:r>
      <w:r w:rsidR="00E818C9">
        <w:t>en</w:t>
      </w:r>
      <w:r w:rsidR="00262974">
        <w:t xml:space="preserve">, sowohl in der Forschung wie in der Lehre. </w:t>
      </w:r>
    </w:p>
    <w:p w14:paraId="53C3072D" w14:textId="69A47A0D" w:rsidR="003B4269" w:rsidRDefault="005D4272" w:rsidP="008252E3">
      <w:r>
        <w:t>Als Beispiel einer</w:t>
      </w:r>
      <w:r w:rsidR="003B4269">
        <w:t xml:space="preserve"> solche</w:t>
      </w:r>
      <w:r>
        <w:t>n</w:t>
      </w:r>
      <w:r w:rsidR="003B4269">
        <w:t xml:space="preserve"> Kooperation </w:t>
      </w:r>
      <w:r>
        <w:t xml:space="preserve">kann die </w:t>
      </w:r>
      <w:r w:rsidR="003B4269">
        <w:t xml:space="preserve">vom </w:t>
      </w:r>
      <w:r w:rsidR="00B24181">
        <w:t xml:space="preserve">Basler </w:t>
      </w:r>
      <w:r w:rsidR="003B4269">
        <w:t xml:space="preserve">Praktologen Walter Neidhart </w:t>
      </w:r>
      <w:r>
        <w:t>zusammen mit einem Kollegen aus der medizinischen Fakultät</w:t>
      </w:r>
      <w:r w:rsidR="00B24181">
        <w:t xml:space="preserve"> </w:t>
      </w:r>
      <w:r w:rsidR="003B4269">
        <w:t xml:space="preserve">gegründeten </w:t>
      </w:r>
      <w:r w:rsidR="003B4269" w:rsidRPr="005D4272">
        <w:rPr>
          <w:i/>
        </w:rPr>
        <w:t xml:space="preserve">Medizinisch-theologisch-ethnologischen Arbeitsgemeinschaft </w:t>
      </w:r>
      <w:r w:rsidR="003B4269">
        <w:t xml:space="preserve">dar, in der ich </w:t>
      </w:r>
      <w:r>
        <w:t>selber über Jahre mit einem Onkologen und</w:t>
      </w:r>
      <w:r w:rsidR="003B4269">
        <w:t xml:space="preserve"> </w:t>
      </w:r>
      <w:r>
        <w:t>einer Psychiaterin</w:t>
      </w:r>
      <w:r w:rsidR="003B4269">
        <w:t xml:space="preserve">, </w:t>
      </w:r>
      <w:r w:rsidR="004A633C">
        <w:t>Ethnologen</w:t>
      </w:r>
      <w:r w:rsidR="003B4269">
        <w:t xml:space="preserve"> und einem Veterinär</w:t>
      </w:r>
      <w:r w:rsidR="004A633C">
        <w:t xml:space="preserve"> Tagungen </w:t>
      </w:r>
      <w:r w:rsidR="00710AB0">
        <w:t>zu Themen wie</w:t>
      </w:r>
      <w:r w:rsidR="004A633C">
        <w:t xml:space="preserve"> Sterbehilfe</w:t>
      </w:r>
      <w:r w:rsidR="00710AB0">
        <w:t xml:space="preserve">, </w:t>
      </w:r>
      <w:r w:rsidR="004A633C">
        <w:t xml:space="preserve">Extase, Sport </w:t>
      </w:r>
      <w:r w:rsidR="00710AB0">
        <w:t>oder</w:t>
      </w:r>
      <w:r w:rsidR="004A633C">
        <w:t xml:space="preserve"> Salutogenese vorbereitete und durchführte. Ein weit prominenteres Beispiel stellt das </w:t>
      </w:r>
      <w:r w:rsidR="00263475">
        <w:t xml:space="preserve">an den Universitäten Basel, Luzern, Zürich und Lausanne angesiedelte </w:t>
      </w:r>
      <w:r w:rsidR="00263475" w:rsidRPr="00263475">
        <w:rPr>
          <w:i/>
        </w:rPr>
        <w:t>Zentrum für Religion, Wirtschaft und Politik</w:t>
      </w:r>
      <w:r w:rsidR="004A633C">
        <w:t xml:space="preserve"> mit Mast</w:t>
      </w:r>
      <w:r w:rsidR="005C5CB5">
        <w:t>erstudiengang, Doktorats- und Fellow-Programm</w:t>
      </w:r>
      <w:r w:rsidR="004A633C">
        <w:t xml:space="preserve"> dar.</w:t>
      </w:r>
      <w:r w:rsidR="00DC713C">
        <w:rPr>
          <w:rStyle w:val="Funotenzeichen"/>
        </w:rPr>
        <w:footnoteReference w:id="7"/>
      </w:r>
    </w:p>
    <w:p w14:paraId="2AB7B464" w14:textId="1E7B35D6" w:rsidR="008252E3" w:rsidRDefault="00262974" w:rsidP="008252E3">
      <w:r>
        <w:t xml:space="preserve">Solche Kooperationen und Vernetzungen scheinen mir für </w:t>
      </w:r>
      <w:r w:rsidR="00A61B12">
        <w:t>die Stellung</w:t>
      </w:r>
      <w:r>
        <w:t xml:space="preserve"> der Theologie in der universitären Öffentlichkeit von kaum zu überschätzender Bedeutung. Dabei geht es </w:t>
      </w:r>
      <w:r w:rsidR="00FD1A6D">
        <w:t xml:space="preserve">selbstredend </w:t>
      </w:r>
      <w:r>
        <w:t>zunächst um inhaltlich-wissenschaftliche Zusammenarbeit. Es geht aber auch und nicht zu</w:t>
      </w:r>
      <w:r w:rsidR="00563016">
        <w:t>letzt darum, dass man sich kennen lernt</w:t>
      </w:r>
      <w:r w:rsidR="00910BF6">
        <w:t xml:space="preserve"> </w:t>
      </w:r>
      <w:r>
        <w:t>und sowohl wissenschaftlich wie persönlich über den Weg traut.</w:t>
      </w:r>
      <w:r w:rsidR="00563016">
        <w:t xml:space="preserve"> Abschottung</w:t>
      </w:r>
      <w:r w:rsidR="00910BF6">
        <w:t xml:space="preserve"> schadet </w:t>
      </w:r>
      <w:r w:rsidR="00563016">
        <w:t xml:space="preserve">jedenfalls </w:t>
      </w:r>
      <w:r w:rsidR="00910BF6">
        <w:t xml:space="preserve">unserer Sache, beeinträchtigt die Forschung und </w:t>
      </w:r>
      <w:r w:rsidR="00CA6F1A">
        <w:t xml:space="preserve">lädiert das </w:t>
      </w:r>
      <w:r w:rsidR="00910BF6">
        <w:t>Image der Theologie.</w:t>
      </w:r>
    </w:p>
    <w:p w14:paraId="3E05270F" w14:textId="2E48A25D" w:rsidR="00CA6F1A" w:rsidRDefault="00CA6F1A" w:rsidP="008252E3">
      <w:r>
        <w:t xml:space="preserve">Dies gilt auch und in besonderer Weise für die Zusammenarbeit mit der Religionswissenschaft. Grenzmarkierungen </w:t>
      </w:r>
      <w:r w:rsidR="00563016">
        <w:t xml:space="preserve">und Konkurrenz </w:t>
      </w:r>
      <w:r>
        <w:t xml:space="preserve">sind zwar verständlich und sachlich legitim. </w:t>
      </w:r>
      <w:r w:rsidR="00A61B12">
        <w:t>Allerdings</w:t>
      </w:r>
      <w:r w:rsidR="00563016">
        <w:t xml:space="preserve"> </w:t>
      </w:r>
      <w:r>
        <w:t>verbinden uns zu viele gemeinsame Gegenstände, Fragestellungen und Methoden, als dass wir es bei einem Burgfrieden bewenden lassen könnten.</w:t>
      </w:r>
      <w:r w:rsidR="0031213D">
        <w:t xml:space="preserve">  Für eine Stärkung der religionsbezogenen Wissenschaften</w:t>
      </w:r>
      <w:r w:rsidR="00086910">
        <w:t xml:space="preserve"> ist deren Vernetzung </w:t>
      </w:r>
      <w:r w:rsidR="00563016">
        <w:t xml:space="preserve">in Forschung und Lehre </w:t>
      </w:r>
      <w:r w:rsidR="00086910">
        <w:t xml:space="preserve">von </w:t>
      </w:r>
      <w:r w:rsidR="00F157A1">
        <w:t xml:space="preserve">nicht geringer </w:t>
      </w:r>
      <w:r w:rsidR="00086910">
        <w:t>Bedeutung.</w:t>
      </w:r>
    </w:p>
    <w:p w14:paraId="217D39D9" w14:textId="2A0FA414" w:rsidR="00563016" w:rsidRDefault="00563016" w:rsidP="008252E3">
      <w:r>
        <w:t xml:space="preserve">Hierzu gehört die von Stefan Huber vorgestellte </w:t>
      </w:r>
      <w:r w:rsidRPr="001710BD">
        <w:rPr>
          <w:i/>
        </w:rPr>
        <w:t>empirische Theologie</w:t>
      </w:r>
      <w:r>
        <w:t>, die an einer theologischen Fakultät angesiedelt ist</w:t>
      </w:r>
      <w:r w:rsidR="004F6E3A">
        <w:t>, deren Mitarbeiter</w:t>
      </w:r>
      <w:r w:rsidR="001710BD">
        <w:t xml:space="preserve"> und Mitarbeiter</w:t>
      </w:r>
      <w:r w:rsidR="004F6E3A">
        <w:t xml:space="preserve">innen zur Zeit </w:t>
      </w:r>
      <w:r w:rsidR="001710BD">
        <w:t xml:space="preserve">allerdings </w:t>
      </w:r>
      <w:r w:rsidR="004F6E3A">
        <w:t xml:space="preserve">allesamt Sozialwissenschaftlerinnen sind. Diese scheinen bisher unter dieser Anbindung nicht zu leiden, sondern haben sich von Anfang an </w:t>
      </w:r>
      <w:r w:rsidR="00F157A1">
        <w:t xml:space="preserve">ohne Scheuklappen und </w:t>
      </w:r>
      <w:r w:rsidR="004F6E3A">
        <w:t>mit grosse</w:t>
      </w:r>
      <w:r w:rsidR="00F157A1">
        <w:t>r</w:t>
      </w:r>
      <w:r w:rsidR="00B7566D">
        <w:t xml:space="preserve"> Kompetenz in d</w:t>
      </w:r>
      <w:r w:rsidR="001710BD">
        <w:t>ie Diskussion von empirisch und/</w:t>
      </w:r>
      <w:r w:rsidR="00B7566D">
        <w:t>oder religionstheoretisch ausgerichteten Forschungsarbeiten eingebracht.</w:t>
      </w:r>
    </w:p>
    <w:p w14:paraId="6DF21437" w14:textId="77777777" w:rsidR="00A36AB3" w:rsidRPr="008252E3" w:rsidRDefault="00A36AB3" w:rsidP="008252E3"/>
    <w:p w14:paraId="1262632E" w14:textId="69C45FA9" w:rsidR="00CD6EA9" w:rsidRDefault="008252E3" w:rsidP="001710BD">
      <w:pPr>
        <w:pStyle w:val="berschrift2"/>
      </w:pPr>
      <w:r>
        <w:t>Stärkung des Kirchen- und Gegenwartsbezugs</w:t>
      </w:r>
    </w:p>
    <w:p w14:paraId="5D7CB672" w14:textId="62083A0A" w:rsidR="00045692" w:rsidRDefault="00977475" w:rsidP="00525E2A">
      <w:r>
        <w:t xml:space="preserve">Die </w:t>
      </w:r>
      <w:r w:rsidR="00EF2BD2">
        <w:t>Theologischen Fakultäten unterscheiden</w:t>
      </w:r>
      <w:r>
        <w:t xml:space="preserve"> sich von privaten theologischen Ausbildung</w:t>
      </w:r>
      <w:r w:rsidR="00494356">
        <w:t xml:space="preserve">sstätte – wie dem </w:t>
      </w:r>
      <w:r w:rsidR="00DB7B7B">
        <w:t>Theologisch-</w:t>
      </w:r>
      <w:r w:rsidR="007443F1">
        <w:t>D</w:t>
      </w:r>
      <w:r w:rsidR="00DB7B7B">
        <w:t>iakonischen Seminar in</w:t>
      </w:r>
      <w:r w:rsidR="00494356">
        <w:t xml:space="preserve"> Aarau, dem </w:t>
      </w:r>
      <w:r w:rsidR="007443F1">
        <w:t>men</w:t>
      </w:r>
      <w:r w:rsidR="006C3714">
        <w:t>n</w:t>
      </w:r>
      <w:r w:rsidR="007443F1">
        <w:t xml:space="preserve">onitischen </w:t>
      </w:r>
      <w:r w:rsidR="00494356">
        <w:t xml:space="preserve">Theologischen Seminar </w:t>
      </w:r>
      <w:r w:rsidR="007443F1">
        <w:t xml:space="preserve">Bienenberg </w:t>
      </w:r>
      <w:r w:rsidR="00494356">
        <w:t xml:space="preserve">oder der </w:t>
      </w:r>
      <w:r w:rsidR="007443F1">
        <w:t>Staatsunabhängigen Theologischen Hochschule</w:t>
      </w:r>
      <w:r w:rsidR="00494356">
        <w:t xml:space="preserve"> Basel – insbesondere dadurch, dass sie sich in Forschung und Lehre </w:t>
      </w:r>
      <w:r w:rsidR="00517D76">
        <w:t xml:space="preserve">nicht nur auf eine </w:t>
      </w:r>
      <w:r w:rsidR="001430B9">
        <w:t>binnenkirchliche oder gar kerngemeindliche</w:t>
      </w:r>
      <w:r w:rsidR="00517D76">
        <w:t>, sondern auch</w:t>
      </w:r>
      <w:r w:rsidR="00494356">
        <w:t xml:space="preserve"> auf </w:t>
      </w:r>
      <w:r w:rsidR="00517D76">
        <w:t>eine</w:t>
      </w:r>
      <w:r w:rsidR="00494356">
        <w:t xml:space="preserve"> universitäre und gesellschaftliche Öffentlichkeit </w:t>
      </w:r>
      <w:r w:rsidR="005C5CB5">
        <w:t>beziehen</w:t>
      </w:r>
      <w:r w:rsidR="00494356">
        <w:t>.</w:t>
      </w:r>
      <w:r w:rsidR="00517D76">
        <w:t xml:space="preserve"> </w:t>
      </w:r>
      <w:r w:rsidR="00525E2A">
        <w:t xml:space="preserve">Diese unterschiedlichen Öffentlichkeiten, aber auch die </w:t>
      </w:r>
      <w:r w:rsidR="006C3714">
        <w:t>in vielen Bereichen</w:t>
      </w:r>
      <w:r w:rsidR="00525E2A">
        <w:t xml:space="preserve"> </w:t>
      </w:r>
      <w:r w:rsidR="004C03F5">
        <w:t>‚</w:t>
      </w:r>
      <w:r w:rsidR="00525E2A">
        <w:t>säkularisierte</w:t>
      </w:r>
      <w:r w:rsidR="004C03F5">
        <w:t>’</w:t>
      </w:r>
      <w:r w:rsidR="00525E2A">
        <w:t xml:space="preserve"> und religiös plurale Volkskirche erfordern von ihr eine Mehrsprachigkeit sowohl in binnentheologischer als auch in disziplinärer Hinsicht. Aber auch </w:t>
      </w:r>
      <w:r w:rsidR="004C0F22">
        <w:t xml:space="preserve">die </w:t>
      </w:r>
      <w:r w:rsidR="00525E2A">
        <w:t xml:space="preserve">Übersetzung wissenschaftlicher Fragestellungen und Ergebnisse in </w:t>
      </w:r>
      <w:r w:rsidR="004C0F22">
        <w:t>nichtwissenschaftliche Kontexte</w:t>
      </w:r>
      <w:r w:rsidR="00674459">
        <w:t xml:space="preserve"> ist durchaus nötig</w:t>
      </w:r>
      <w:r w:rsidR="00B9442F">
        <w:t>.</w:t>
      </w:r>
      <w:r w:rsidR="00C80C42">
        <w:t xml:space="preserve"> </w:t>
      </w:r>
    </w:p>
    <w:p w14:paraId="2D59F04A" w14:textId="765A2FC9" w:rsidR="007531AF" w:rsidRDefault="00045692" w:rsidP="00525E2A">
      <w:r>
        <w:t>Das Daseinsrecht der Theologie</w:t>
      </w:r>
      <w:r w:rsidR="005C34D0">
        <w:t xml:space="preserve"> </w:t>
      </w:r>
      <w:r>
        <w:t xml:space="preserve">an der Universität ist nicht zuletzt dadurch begründet, dass sie diese unterschiedlichen </w:t>
      </w:r>
      <w:r w:rsidR="00034A53">
        <w:t>Beziehungen zu den genannten</w:t>
      </w:r>
      <w:r>
        <w:t xml:space="preserve"> Öffentlichkeiten unterhält und </w:t>
      </w:r>
      <w:r w:rsidR="00034A53">
        <w:t xml:space="preserve">pflegt und sich </w:t>
      </w:r>
      <w:r w:rsidR="002B2719">
        <w:t>geschickt</w:t>
      </w:r>
      <w:r w:rsidR="00034A53">
        <w:t xml:space="preserve"> in </w:t>
      </w:r>
      <w:r w:rsidR="00722CDF">
        <w:t xml:space="preserve">den </w:t>
      </w:r>
      <w:r w:rsidR="00034A53">
        <w:t xml:space="preserve">unterschiedlichen </w:t>
      </w:r>
      <w:r w:rsidR="00A52672">
        <w:t xml:space="preserve">wissenschaftlichen, gesellschaftlichen und religiösen </w:t>
      </w:r>
      <w:r w:rsidR="00034A53">
        <w:t>Sprachspielen</w:t>
      </w:r>
      <w:r w:rsidR="00AC73F0">
        <w:t xml:space="preserve"> bewegt</w:t>
      </w:r>
      <w:r>
        <w:t xml:space="preserve">. Dies tut sie </w:t>
      </w:r>
      <w:r w:rsidR="004D2FF6">
        <w:t>meines Erachtens</w:t>
      </w:r>
      <w:r>
        <w:t xml:space="preserve"> dann am besten, wenn sie auch in ihren bibelwissenschaftlichen, historischen und systematischen Disziplinen den Kirchen- und Gegenwartsbezug nicht aus den Augen verliert, sondern </w:t>
      </w:r>
      <w:r w:rsidR="002F1030">
        <w:t xml:space="preserve">aufrechterhält </w:t>
      </w:r>
      <w:r>
        <w:t xml:space="preserve">nach Möglichkeit stärkt. </w:t>
      </w:r>
    </w:p>
    <w:p w14:paraId="3954168B" w14:textId="2A673035" w:rsidR="00557A43" w:rsidRDefault="00151283" w:rsidP="00525E2A">
      <w:r>
        <w:t>Dazu könnte die von Stefan Huber vorgestellte empiris</w:t>
      </w:r>
      <w:r w:rsidR="004D2FF6">
        <w:t xml:space="preserve">che Theologie einiges beitragen. </w:t>
      </w:r>
      <w:r w:rsidR="00045692">
        <w:t xml:space="preserve">Ein dem exegetischen oder historischen Proseminar vergleichbares </w:t>
      </w:r>
      <w:r w:rsidR="00045692" w:rsidRPr="007531AF">
        <w:rPr>
          <w:i/>
        </w:rPr>
        <w:t>Methodenseminar in empirischer Religionsforschung</w:t>
      </w:r>
      <w:r w:rsidR="00045692">
        <w:t>, welches dazu anleitet</w:t>
      </w:r>
      <w:r>
        <w:t>e</w:t>
      </w:r>
      <w:r w:rsidR="00045692">
        <w:t xml:space="preserve">, </w:t>
      </w:r>
      <w:r w:rsidR="007531AF">
        <w:t xml:space="preserve">sozialwissenschaftliche Studien zu </w:t>
      </w:r>
      <w:r>
        <w:t>rezipieren</w:t>
      </w:r>
      <w:r w:rsidR="007531AF">
        <w:t xml:space="preserve"> und kritisch zu interpretieren, aber auch selber methodisch kontrollierte Erkundungen der religiösen Gegenwart zu unternehmen, könnte diesen Gegenwartsbezug </w:t>
      </w:r>
      <w:r w:rsidR="00000973">
        <w:t xml:space="preserve">zumindest für die Praktische und die Systematische Theologie </w:t>
      </w:r>
      <w:r w:rsidR="007531AF">
        <w:t>wissenschaftlich unterfüttern.</w:t>
      </w:r>
    </w:p>
    <w:p w14:paraId="0CF2E20E" w14:textId="1CFA6FE7" w:rsidR="007531AF" w:rsidRDefault="007531AF" w:rsidP="00525E2A">
      <w:r>
        <w:t xml:space="preserve">Denn </w:t>
      </w:r>
      <w:r w:rsidR="004D2FF6">
        <w:t>Theologinnen und Theologen</w:t>
      </w:r>
      <w:r>
        <w:t xml:space="preserve"> müssen nicht nur </w:t>
      </w:r>
      <w:r w:rsidR="004D2FF6">
        <w:t>biblische</w:t>
      </w:r>
      <w:r>
        <w:t xml:space="preserve"> und </w:t>
      </w:r>
      <w:r w:rsidR="004D2FF6">
        <w:t xml:space="preserve">andere </w:t>
      </w:r>
      <w:r>
        <w:t>historische Quellen</w:t>
      </w:r>
      <w:r w:rsidR="00000973" w:rsidRPr="00000973">
        <w:t xml:space="preserve"> </w:t>
      </w:r>
      <w:r w:rsidR="00000973">
        <w:t>lesen lernen</w:t>
      </w:r>
      <w:r>
        <w:t>, sondern auch unsere aktuellen Lebenswelten religionsanalytisch</w:t>
      </w:r>
      <w:r w:rsidR="00000973">
        <w:t xml:space="preserve"> und theologisch </w:t>
      </w:r>
      <w:r w:rsidR="00025F8B">
        <w:t>decodieren</w:t>
      </w:r>
      <w:r w:rsidR="00000973">
        <w:t xml:space="preserve"> können</w:t>
      </w:r>
      <w:r>
        <w:t>.</w:t>
      </w:r>
      <w:r w:rsidR="00000973">
        <w:t xml:space="preserve"> Die Stärkung des Öffentlichkeitsbezugs der Theologie erfordert eine solche Lesekompetenz.</w:t>
      </w:r>
    </w:p>
    <w:p w14:paraId="5BA73F9F" w14:textId="61DC409A" w:rsidR="00D10657" w:rsidRDefault="00D10657" w:rsidP="00525E2A">
      <w:r>
        <w:t xml:space="preserve">Damit bin ich beim dicken Ende und </w:t>
      </w:r>
      <w:r w:rsidR="00570868">
        <w:t xml:space="preserve">bei </w:t>
      </w:r>
      <w:r>
        <w:t xml:space="preserve">meinem Titel angelangt: Die Relevanz der Theologie für </w:t>
      </w:r>
      <w:r w:rsidR="004D2FF6">
        <w:t>eine gesellschaftliche und eine universitäre</w:t>
      </w:r>
      <w:r>
        <w:t xml:space="preserve"> Öffentlichkeit ist umso grösser, je praktischer sie ist.</w:t>
      </w:r>
      <w:r w:rsidR="00E42514">
        <w:rPr>
          <w:rStyle w:val="Funotenzeichen"/>
        </w:rPr>
        <w:footnoteReference w:id="8"/>
      </w:r>
    </w:p>
    <w:p w14:paraId="77748FC9" w14:textId="77777777" w:rsidR="009400AF" w:rsidRDefault="009400AF" w:rsidP="00525E2A"/>
    <w:p w14:paraId="327D5B81" w14:textId="3958CFC3" w:rsidR="00C44557" w:rsidRDefault="00C44557" w:rsidP="00525E2A"/>
    <w:p w14:paraId="509307B8" w14:textId="77777777" w:rsidR="00C44557" w:rsidRDefault="00C44557" w:rsidP="00525E2A"/>
    <w:p w14:paraId="20D92AC3" w14:textId="77777777" w:rsidR="008918DD" w:rsidRPr="008918DD" w:rsidRDefault="00C44557" w:rsidP="008918DD">
      <w:pPr>
        <w:spacing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008918DD" w:rsidRPr="008918DD">
        <w:rPr>
          <w:rFonts w:ascii="Calibri" w:hAnsi="Calibri"/>
          <w:noProof/>
        </w:rPr>
        <w:t xml:space="preserve">Browning, Don S. (1991), </w:t>
      </w:r>
      <w:r w:rsidR="008918DD" w:rsidRPr="008918DD">
        <w:rPr>
          <w:rFonts w:ascii="Century Gothic" w:hAnsi="Century Gothic"/>
          <w:noProof/>
        </w:rPr>
        <w:t>Auf dem Weg zu einer Fundamentalen und Strategischen Praktischen  Theologie</w:t>
      </w:r>
      <w:r w:rsidR="008918DD" w:rsidRPr="008918DD">
        <w:rPr>
          <w:rFonts w:ascii="Calibri" w:hAnsi="Calibri"/>
          <w:noProof/>
        </w:rPr>
        <w:t>, in: Karl Ernst Nipkow, Dietrich Rössler und Friedrich Schweitzer (Hg.): Praktische Theologie und Kultur der Gegenwart. Ein internationaler Dialog, Gütersloh</w:t>
      </w:r>
      <w:r w:rsidR="008918DD" w:rsidRPr="008918DD">
        <w:rPr>
          <w:rFonts w:ascii="Calibri" w:hAnsi="Calibri"/>
          <w:b/>
          <w:noProof/>
        </w:rPr>
        <w:t xml:space="preserve">, </w:t>
      </w:r>
      <w:r w:rsidR="008918DD" w:rsidRPr="008918DD">
        <w:rPr>
          <w:rFonts w:ascii="Calibri" w:hAnsi="Calibri"/>
          <w:noProof/>
        </w:rPr>
        <w:t>21-42.</w:t>
      </w:r>
      <w:bookmarkEnd w:id="1"/>
    </w:p>
    <w:p w14:paraId="27F95E6D" w14:textId="77777777" w:rsidR="008918DD" w:rsidRPr="008918DD" w:rsidRDefault="008918DD" w:rsidP="008918DD">
      <w:pPr>
        <w:spacing w:line="240" w:lineRule="auto"/>
        <w:ind w:left="720" w:hanging="720"/>
        <w:rPr>
          <w:rFonts w:ascii="Calibri" w:hAnsi="Calibri"/>
          <w:noProof/>
        </w:rPr>
      </w:pPr>
      <w:bookmarkStart w:id="2" w:name="_ENREF_2"/>
      <w:r w:rsidRPr="008918DD">
        <w:rPr>
          <w:rFonts w:ascii="Calibri" w:hAnsi="Calibri"/>
          <w:noProof/>
        </w:rPr>
        <w:t>Failing, Wolf-Eckart und Hans-Günter Heimbrock (1998), Gelebte Religion wahrnehmen. Lebenswelt – Alltagskultur – Religionspraxis, Stuttgart/Berlin/Köln.</w:t>
      </w:r>
      <w:bookmarkEnd w:id="2"/>
    </w:p>
    <w:p w14:paraId="6FB927FC" w14:textId="77777777" w:rsidR="008918DD" w:rsidRPr="008918DD" w:rsidRDefault="008918DD" w:rsidP="008918DD">
      <w:pPr>
        <w:spacing w:line="240" w:lineRule="auto"/>
        <w:ind w:left="720" w:hanging="720"/>
        <w:rPr>
          <w:rFonts w:ascii="Calibri" w:hAnsi="Calibri"/>
          <w:noProof/>
        </w:rPr>
      </w:pPr>
      <w:bookmarkStart w:id="3" w:name="_ENREF_3"/>
      <w:r w:rsidRPr="008918DD">
        <w:rPr>
          <w:rFonts w:ascii="Calibri" w:hAnsi="Calibri"/>
          <w:noProof/>
        </w:rPr>
        <w:t>Grözinger, Albrecht und Georg Pfleiderer, Eds. (2002), "Gelebte Religion" als Programmbegriff Systematischer und Praktischer Theologie, Zürich.</w:t>
      </w:r>
      <w:bookmarkEnd w:id="3"/>
    </w:p>
    <w:p w14:paraId="08B9ED4C" w14:textId="77777777" w:rsidR="008918DD" w:rsidRPr="008918DD" w:rsidRDefault="008918DD" w:rsidP="008918DD">
      <w:pPr>
        <w:spacing w:line="240" w:lineRule="auto"/>
        <w:ind w:left="720" w:hanging="720"/>
        <w:rPr>
          <w:rFonts w:ascii="Calibri" w:hAnsi="Calibri"/>
          <w:noProof/>
        </w:rPr>
      </w:pPr>
      <w:bookmarkStart w:id="4" w:name="_ENREF_4"/>
      <w:r w:rsidRPr="008918DD">
        <w:rPr>
          <w:rFonts w:ascii="Calibri" w:hAnsi="Calibri"/>
          <w:noProof/>
        </w:rPr>
        <w:t>Ritschl, Dietrich (1988), Zur Logik der Theologie. Kurze Darstellung der Zusammenhänge theologischer Grundgedanken, München.</w:t>
      </w:r>
      <w:bookmarkEnd w:id="4"/>
    </w:p>
    <w:p w14:paraId="093650D2" w14:textId="77777777" w:rsidR="008918DD" w:rsidRPr="008918DD" w:rsidRDefault="008918DD" w:rsidP="008918DD">
      <w:pPr>
        <w:spacing w:line="240" w:lineRule="auto"/>
        <w:ind w:left="720" w:hanging="720"/>
        <w:rPr>
          <w:rFonts w:ascii="Calibri" w:hAnsi="Calibri"/>
          <w:noProof/>
        </w:rPr>
      </w:pPr>
      <w:bookmarkStart w:id="5" w:name="_ENREF_5"/>
      <w:r w:rsidRPr="008918DD">
        <w:rPr>
          <w:rFonts w:ascii="Calibri" w:hAnsi="Calibri"/>
          <w:noProof/>
        </w:rPr>
        <w:t>Rössler, Dietrich (1986), Grundriss der Praktischen Theologie, Berlin/New York.</w:t>
      </w:r>
      <w:bookmarkEnd w:id="5"/>
    </w:p>
    <w:p w14:paraId="0DE21927" w14:textId="77777777" w:rsidR="008918DD" w:rsidRPr="008918DD" w:rsidRDefault="008918DD" w:rsidP="008918DD">
      <w:pPr>
        <w:spacing w:line="240" w:lineRule="auto"/>
        <w:ind w:left="720" w:hanging="720"/>
        <w:rPr>
          <w:rFonts w:ascii="Calibri" w:hAnsi="Calibri"/>
          <w:noProof/>
        </w:rPr>
      </w:pPr>
      <w:bookmarkStart w:id="6" w:name="_ENREF_6"/>
      <w:r w:rsidRPr="008918DD">
        <w:rPr>
          <w:rFonts w:ascii="Calibri" w:hAnsi="Calibri"/>
          <w:noProof/>
        </w:rPr>
        <w:t>Schleiermacher, Friedrich (1982), Kurze Darstellung des theologischen Studiums zum Behuf einer einleitenden Vorlesung (Leipzig 1910), Darmstadt.</w:t>
      </w:r>
      <w:bookmarkEnd w:id="6"/>
    </w:p>
    <w:p w14:paraId="37F9DFF7" w14:textId="03C73FAA" w:rsidR="008918DD" w:rsidRDefault="008918DD" w:rsidP="008918DD">
      <w:pPr>
        <w:spacing w:line="240" w:lineRule="auto"/>
        <w:rPr>
          <w:rFonts w:ascii="Calibri" w:hAnsi="Calibri"/>
          <w:noProof/>
        </w:rPr>
      </w:pPr>
    </w:p>
    <w:p w14:paraId="4DBD0B54" w14:textId="384B3340" w:rsidR="009400AF" w:rsidRPr="00B808E3" w:rsidRDefault="00C44557" w:rsidP="00525E2A">
      <w:r>
        <w:fldChar w:fldCharType="end"/>
      </w:r>
    </w:p>
    <w:sectPr w:rsidR="009400AF" w:rsidRPr="00B808E3" w:rsidSect="00BB73A6">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0CE83" w14:textId="77777777" w:rsidR="007443F1" w:rsidRDefault="007443F1" w:rsidP="00E07905">
      <w:pPr>
        <w:spacing w:line="240" w:lineRule="auto"/>
      </w:pPr>
      <w:r>
        <w:separator/>
      </w:r>
    </w:p>
  </w:endnote>
  <w:endnote w:type="continuationSeparator" w:id="0">
    <w:p w14:paraId="1A421FEE" w14:textId="77777777" w:rsidR="007443F1" w:rsidRDefault="007443F1" w:rsidP="00E07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0954E" w14:textId="77777777" w:rsidR="007443F1" w:rsidRDefault="007443F1" w:rsidP="000628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686261A" w14:textId="77777777" w:rsidR="007443F1" w:rsidRDefault="007443F1" w:rsidP="00E07905">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8BB9" w14:textId="77777777" w:rsidR="007443F1" w:rsidRDefault="007443F1" w:rsidP="000628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918DD">
      <w:rPr>
        <w:rStyle w:val="Seitenzahl"/>
        <w:noProof/>
      </w:rPr>
      <w:t>1</w:t>
    </w:r>
    <w:r>
      <w:rPr>
        <w:rStyle w:val="Seitenzahl"/>
      </w:rPr>
      <w:fldChar w:fldCharType="end"/>
    </w:r>
  </w:p>
  <w:p w14:paraId="2F67A27E" w14:textId="77777777" w:rsidR="007443F1" w:rsidRDefault="007443F1" w:rsidP="00E07905">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E8B39" w14:textId="77777777" w:rsidR="007443F1" w:rsidRDefault="007443F1" w:rsidP="00E07905">
      <w:pPr>
        <w:spacing w:line="240" w:lineRule="auto"/>
      </w:pPr>
      <w:r>
        <w:separator/>
      </w:r>
    </w:p>
  </w:footnote>
  <w:footnote w:type="continuationSeparator" w:id="0">
    <w:p w14:paraId="71D3E574" w14:textId="77777777" w:rsidR="007443F1" w:rsidRDefault="007443F1" w:rsidP="00E07905">
      <w:pPr>
        <w:spacing w:line="240" w:lineRule="auto"/>
      </w:pPr>
      <w:r>
        <w:continuationSeparator/>
      </w:r>
    </w:p>
  </w:footnote>
  <w:footnote w:id="1">
    <w:p w14:paraId="7F3A1B77" w14:textId="1EDDE5F5" w:rsidR="007443F1" w:rsidRDefault="007443F1">
      <w:pPr>
        <w:pStyle w:val="Funotentext"/>
      </w:pPr>
      <w:r>
        <w:rPr>
          <w:rStyle w:val="Funotenzeichen"/>
        </w:rPr>
        <w:footnoteRef/>
      </w:r>
      <w:r>
        <w:t xml:space="preserve"> Vgl. zum gegenwärtig sehr breit, aber auch vielfältig verwendeten Konzept der „gelebten Religion“ </w:t>
      </w:r>
      <w:r>
        <w:fldChar w:fldCharType="begin"/>
      </w:r>
      <w:r>
        <w:instrText xml:space="preserve"> ADDIN EN.CITE &lt;EndNote&gt;&lt;Cite&gt;&lt;Author&gt;Failing&lt;/Author&gt;&lt;Year&gt;1998&lt;/Year&gt;&lt;RecNum&gt;660&lt;/RecNum&gt;&lt;DisplayText&gt;Failing und Heimbrock 1998; Grözinger und Pfleiderer 2002&lt;/DisplayText&gt;&lt;record&gt;&lt;rec-number&gt;660&lt;/rec-number&gt;&lt;foreign-keys&gt;&lt;key app="EN" db-id="pa0rtsw99vdfw3ewsayxze5qdf0a0tvd95ss"&gt;660&lt;/key&gt;&lt;/foreign-keys&gt;&lt;ref-type name="Book"&gt;6&lt;/ref-type&gt;&lt;contributors&gt;&lt;authors&gt;&lt;author&gt;Failing, Wolf-Eckart&lt;/author&gt;&lt;author&gt;Heimbrock, Hans-Günter&lt;/author&gt;&lt;/authors&gt;&lt;/contributors&gt;&lt;titles&gt;&lt;title&gt;Gelebte Religion wahrnehmen. Lebenswelt – Alltagskultur – Religionspraxis&lt;/title&gt;&lt;/titles&gt;&lt;dates&gt;&lt;year&gt;1998&lt;/year&gt;&lt;/dates&gt;&lt;pub-location&gt;Stuttgart/Berlin/Köln&lt;/pub-location&gt;&lt;urls&gt;&lt;/urls&gt;&lt;/record&gt;&lt;/Cite&gt;&lt;Cite&gt;&lt;Author&gt;Grözinger&lt;/Author&gt;&lt;Year&gt;2002&lt;/Year&gt;&lt;RecNum&gt;488&lt;/RecNum&gt;&lt;record&gt;&lt;rec-number&gt;488&lt;/rec-number&gt;&lt;foreign-keys&gt;&lt;key app="EN" db-id="pa0rtsw99vdfw3ewsayxze5qdf0a0tvd95ss"&gt;488&lt;/key&gt;&lt;/foreign-keys&gt;&lt;ref-type name="Edited Book"&gt;28&lt;/ref-type&gt;&lt;contributors&gt;&lt;authors&gt;&lt;author&gt;Grözinger, Albrecht&lt;/author&gt;&lt;author&gt;Pfleiderer, Georg&lt;/author&gt;&lt;/authors&gt;&lt;/contributors&gt;&lt;titles&gt;&lt;title&gt;&amp;quot;Gelebte Religion&amp;quot; als Programmbegriff Systematischer und Praktischer Theologie&lt;/title&gt;&lt;/titles&gt;&lt;dates&gt;&lt;year&gt;2002&lt;/year&gt;&lt;/dates&gt;&lt;pub-location&gt;Zürich&lt;/pub-location&gt;&lt;urls&gt;&lt;/urls&gt;&lt;/record&gt;&lt;/Cite&gt;&lt;/EndNote&gt;</w:instrText>
      </w:r>
      <w:r>
        <w:fldChar w:fldCharType="separate"/>
      </w:r>
      <w:hyperlink w:anchor="_ENREF_2" w:tooltip="Failing, 1998 #660" w:history="1">
        <w:r w:rsidR="008918DD">
          <w:rPr>
            <w:noProof/>
          </w:rPr>
          <w:t>Failing und Heimbrock 1998</w:t>
        </w:r>
      </w:hyperlink>
      <w:r>
        <w:rPr>
          <w:noProof/>
        </w:rPr>
        <w:t xml:space="preserve">; </w:t>
      </w:r>
      <w:hyperlink w:anchor="_ENREF_3" w:tooltip="Grözinger, 2002 #488" w:history="1">
        <w:r w:rsidR="008918DD">
          <w:rPr>
            <w:noProof/>
          </w:rPr>
          <w:t>Grözinger und Pfleiderer 2002</w:t>
        </w:r>
      </w:hyperlink>
      <w:r>
        <w:fldChar w:fldCharType="end"/>
      </w:r>
      <w:r>
        <w:t>.</w:t>
      </w:r>
    </w:p>
  </w:footnote>
  <w:footnote w:id="2">
    <w:p w14:paraId="13C8B35D" w14:textId="3A5F6AFB" w:rsidR="007443F1" w:rsidRDefault="007443F1">
      <w:pPr>
        <w:pStyle w:val="Funotentext"/>
      </w:pPr>
      <w:r>
        <w:rPr>
          <w:rStyle w:val="Funotenzeichen"/>
        </w:rPr>
        <w:footnoteRef/>
      </w:r>
      <w:r>
        <w:t xml:space="preserve"> Zur den drei Dimensionen neuzeitlichen Christentums vgl. </w:t>
      </w:r>
      <w:hyperlink w:anchor="_ENREF_5" w:tooltip="Rössler, 1986 #584" w:history="1">
        <w:r w:rsidR="008918DD">
          <w:fldChar w:fldCharType="begin"/>
        </w:r>
        <w:r w:rsidR="008918DD">
          <w:instrText xml:space="preserve"> ADDIN EN.CITE &lt;EndNote&gt;&lt;Cite&gt;&lt;Author&gt;Rössler&lt;/Author&gt;&lt;Year&gt;1986&lt;/Year&gt;&lt;RecNum&gt;584&lt;/RecNum&gt;&lt;DisplayText&gt;Rössler 1986&lt;/DisplayText&gt;&lt;record&gt;&lt;rec-number&gt;584&lt;/rec-number&gt;&lt;foreign-keys&gt;&lt;key app="EN" db-id="pa0rtsw99vdfw3ewsayxze5qdf0a0tvd95ss"&gt;584&lt;/key&gt;&lt;/foreign-keys&gt;&lt;ref-type name="Book"&gt;6&lt;/ref-type&gt;&lt;contributors&gt;&lt;authors&gt;&lt;author&gt;Rössler, Dietrich&lt;/author&gt;&lt;/authors&gt;&lt;/contributors&gt;&lt;titles&gt;&lt;title&gt;Grundriss der Praktischen Theologie&lt;/title&gt;&lt;/titles&gt;&lt;dates&gt;&lt;year&gt;1986&lt;/year&gt;&lt;/dates&gt;&lt;pub-location&gt;Berlin/New York&lt;/pub-location&gt;&lt;urls&gt;&lt;/urls&gt;&lt;/record&gt;&lt;/Cite&gt;&lt;/EndNote&gt;</w:instrText>
        </w:r>
        <w:r w:rsidR="008918DD">
          <w:fldChar w:fldCharType="separate"/>
        </w:r>
        <w:r w:rsidR="008918DD">
          <w:rPr>
            <w:noProof/>
          </w:rPr>
          <w:t>Rössler 1986</w:t>
        </w:r>
        <w:r w:rsidR="008918DD">
          <w:fldChar w:fldCharType="end"/>
        </w:r>
      </w:hyperlink>
      <w:r>
        <w:t xml:space="preserve">, </w:t>
      </w:r>
      <w:r w:rsidRPr="00387313">
        <w:rPr>
          <w:highlight w:val="yellow"/>
        </w:rPr>
        <w:t>S.?</w:t>
      </w:r>
    </w:p>
  </w:footnote>
  <w:footnote w:id="3">
    <w:p w14:paraId="4045B3C2" w14:textId="328C335C" w:rsidR="007443F1" w:rsidRDefault="007443F1">
      <w:pPr>
        <w:pStyle w:val="Funotentext"/>
      </w:pPr>
      <w:r>
        <w:rPr>
          <w:rStyle w:val="Funotenzeichen"/>
        </w:rPr>
        <w:footnoteRef/>
      </w:r>
      <w:r>
        <w:t xml:space="preserve"> Zum Modell der Grammatik des Glaubens vgl. </w:t>
      </w:r>
      <w:hyperlink w:anchor="_ENREF_4" w:tooltip="Ritschl, 1988 #1000" w:history="1">
        <w:r w:rsidR="008918DD">
          <w:fldChar w:fldCharType="begin"/>
        </w:r>
        <w:r w:rsidR="008918DD">
          <w:instrText xml:space="preserve"> ADDIN EN.CITE &lt;EndNote&gt;&lt;Cite&gt;&lt;Author&gt;Ritschl&lt;/Author&gt;&lt;Year&gt;1988&lt;/Year&gt;&lt;RecNum&gt;1000&lt;/RecNum&gt;&lt;DisplayText&gt;Ritschl 1988&lt;/DisplayText&gt;&lt;record&gt;&lt;rec-number&gt;1000&lt;/rec-number&gt;&lt;foreign-keys&gt;&lt;key app="EN" db-id="pa0rtsw99vdfw3ewsayxze5qdf0a0tvd95ss"&gt;1000&lt;/key&gt;&lt;/foreign-keys&gt;&lt;ref-type name="Book"&gt;6&lt;/ref-type&gt;&lt;contributors&gt;&lt;authors&gt;&lt;author&gt;Ritschl, Dietrich&lt;/author&gt;&lt;/authors&gt;&lt;/contributors&gt;&lt;titles&gt;&lt;title&gt;Zur Logik der Theologie. Kurze Darstellung der Zusammenhänge theologischer Grundgedanken&lt;/title&gt;&lt;/titles&gt;&lt;dates&gt;&lt;year&gt;1988&lt;/year&gt;&lt;/dates&gt;&lt;pub-location&gt;München&lt;/pub-location&gt;&lt;urls&gt;&lt;/urls&gt;&lt;/record&gt;&lt;/Cite&gt;&lt;/EndNote&gt;</w:instrText>
        </w:r>
        <w:r w:rsidR="008918DD">
          <w:fldChar w:fldCharType="separate"/>
        </w:r>
        <w:r w:rsidR="008918DD">
          <w:rPr>
            <w:noProof/>
          </w:rPr>
          <w:t>Ritschl 1988</w:t>
        </w:r>
        <w:r w:rsidR="008918DD">
          <w:fldChar w:fldCharType="end"/>
        </w:r>
      </w:hyperlink>
      <w:r>
        <w:t>.</w:t>
      </w:r>
    </w:p>
  </w:footnote>
  <w:footnote w:id="4">
    <w:p w14:paraId="38A0ED45" w14:textId="73F36E34" w:rsidR="007443F1" w:rsidRDefault="007443F1">
      <w:pPr>
        <w:pStyle w:val="Funotentext"/>
      </w:pPr>
      <w:r>
        <w:rPr>
          <w:rStyle w:val="Funotenzeichen"/>
        </w:rPr>
        <w:footnoteRef/>
      </w:r>
      <w:r>
        <w:t xml:space="preserve"> </w:t>
      </w:r>
      <w:hyperlink w:anchor="_ENREF_6" w:tooltip="Schleiermacher, 1982 #1620" w:history="1">
        <w:r w:rsidR="008918DD">
          <w:fldChar w:fldCharType="begin"/>
        </w:r>
        <w:r w:rsidR="008918DD">
          <w:instrText xml:space="preserve"> ADDIN EN.CITE &lt;EndNote&gt;&lt;Cite&gt;&lt;Author&gt;Schleiermacher&lt;/Author&gt;&lt;Year&gt;1982&lt;/Year&gt;&lt;RecNum&gt;1620&lt;/RecNum&gt;&lt;DisplayText&gt;Schleiermacher 1982&lt;/DisplayText&gt;&lt;record&gt;&lt;rec-number&gt;1620&lt;/rec-number&gt;&lt;foreign-keys&gt;&lt;key app="EN" db-id="pa0rtsw99vdfw3ewsayxze5qdf0a0tvd95ss"&gt;1620&lt;/key&gt;&lt;/foreign-keys&gt;&lt;ref-type name="Book"&gt;6&lt;/ref-type&gt;&lt;contributors&gt;&lt;authors&gt;&lt;author&gt;Schleiermacher, Friedrich&lt;/author&gt;&lt;/authors&gt;&lt;/contributors&gt;&lt;titles&gt;&lt;title&gt;Kurze Darstellung des theologischen Studiums zum Behuf einer einleitenden Vorlesung (Leipzig 1910)&lt;/title&gt;&lt;/titles&gt;&lt;edition&gt;3. Aufl.&lt;/edition&gt;&lt;dates&gt;&lt;year&gt;1982&lt;/year&gt;&lt;/dates&gt;&lt;pub-location&gt;Darmstadt&lt;/pub-location&gt;&lt;urls&gt;&lt;/urls&gt;&lt;/record&gt;&lt;/Cite&gt;&lt;/EndNote&gt;</w:instrText>
        </w:r>
        <w:r w:rsidR="008918DD">
          <w:fldChar w:fldCharType="separate"/>
        </w:r>
        <w:r w:rsidR="008918DD">
          <w:rPr>
            <w:noProof/>
          </w:rPr>
          <w:t>Schleiermacher 1982</w:t>
        </w:r>
        <w:r w:rsidR="008918DD">
          <w:fldChar w:fldCharType="end"/>
        </w:r>
      </w:hyperlink>
      <w:r>
        <w:t>, § 1.</w:t>
      </w:r>
    </w:p>
  </w:footnote>
  <w:footnote w:id="5">
    <w:p w14:paraId="60B780FE" w14:textId="64CB2A3D" w:rsidR="007443F1" w:rsidRDefault="007443F1">
      <w:pPr>
        <w:pStyle w:val="Funotentext"/>
      </w:pPr>
      <w:r>
        <w:rPr>
          <w:rStyle w:val="Funotenzeichen"/>
        </w:rPr>
        <w:footnoteRef/>
      </w:r>
      <w:r>
        <w:t xml:space="preserve"> </w:t>
      </w:r>
      <w:hyperlink w:anchor="_ENREF_6" w:tooltip="Schleiermacher, 1982 #1620" w:history="1">
        <w:r w:rsidR="008918DD">
          <w:fldChar w:fldCharType="begin"/>
        </w:r>
        <w:r w:rsidR="008918DD">
          <w:instrText xml:space="preserve"> ADDIN EN.CITE &lt;EndNote&gt;&lt;Cite&gt;&lt;Author&gt;Schleiermacher&lt;/Author&gt;&lt;Year&gt;1982&lt;/Year&gt;&lt;RecNum&gt;1620&lt;/RecNum&gt;&lt;DisplayText&gt;Schleiermacher 1982&lt;/DisplayText&gt;&lt;record&gt;&lt;rec-number&gt;1620&lt;/rec-number&gt;&lt;foreign-keys&gt;&lt;key app="EN" db-id="pa0rtsw99vdfw3ewsayxze5qdf0a0tvd95ss"&gt;1620&lt;/key&gt;&lt;/foreign-keys&gt;&lt;ref-type name="Book"&gt;6&lt;/ref-type&gt;&lt;contributors&gt;&lt;authors&gt;&lt;author&gt;Schleiermacher, Friedrich&lt;/author&gt;&lt;/authors&gt;&lt;/contributors&gt;&lt;titles&gt;&lt;title&gt;Kurze Darstellung des theologischen Studiums zum Behuf einer einleitenden Vorlesung (Leipzig 1910)&lt;/title&gt;&lt;/titles&gt;&lt;edition&gt;3. Aufl.&lt;/edition&gt;&lt;dates&gt;&lt;year&gt;1982&lt;/year&gt;&lt;/dates&gt;&lt;pub-location&gt;Darmstadt&lt;/pub-location&gt;&lt;urls&gt;&lt;/urls&gt;&lt;/record&gt;&lt;/Cite&gt;&lt;/EndNote&gt;</w:instrText>
        </w:r>
        <w:r w:rsidR="008918DD">
          <w:fldChar w:fldCharType="separate"/>
        </w:r>
        <w:r w:rsidR="008918DD">
          <w:rPr>
            <w:noProof/>
          </w:rPr>
          <w:t>Schleiermacher 1982</w:t>
        </w:r>
        <w:r w:rsidR="008918DD">
          <w:fldChar w:fldCharType="end"/>
        </w:r>
      </w:hyperlink>
      <w:r>
        <w:t>, § 5.</w:t>
      </w:r>
    </w:p>
  </w:footnote>
  <w:footnote w:id="6">
    <w:p w14:paraId="3B890F0A" w14:textId="2645D8B8" w:rsidR="007443F1" w:rsidRDefault="007443F1">
      <w:pPr>
        <w:pStyle w:val="Funotentext"/>
      </w:pPr>
      <w:r>
        <w:rPr>
          <w:rStyle w:val="Funotenzeichen"/>
        </w:rPr>
        <w:footnoteRef/>
      </w:r>
      <w:r>
        <w:t xml:space="preserve"> In dieselbe Richtung zielt das Modell von Don S. Browning: </w:t>
      </w:r>
      <w:hyperlink w:anchor="_ENREF_1" w:tooltip="Browning, 1991 #750" w:history="1">
        <w:r w:rsidR="008918DD">
          <w:fldChar w:fldCharType="begin"/>
        </w:r>
        <w:r w:rsidR="008918DD">
          <w:instrText xml:space="preserve"> ADDIN EN.CITE &lt;EndNote&gt;&lt;Cite&gt;&lt;Author&gt;Browning&lt;/Author&gt;&lt;Year&gt;1991&lt;/Year&gt;&lt;RecNum&gt;750&lt;/RecNum&gt;&lt;DisplayText&gt;Browning 1991&lt;/DisplayText&gt;&lt;record&gt;&lt;rec-number&gt;750&lt;/rec-number&gt;&lt;foreign-keys&gt;&lt;key app="EN" db-id="pa0rtsw99vdfw3ewsayxze5qdf0a0tvd95ss"&gt;750&lt;/key&gt;&lt;/foreign-keys&gt;&lt;ref-type name="Book Section"&gt;5&lt;/ref-type&gt;&lt;contributors&gt;&lt;authors&gt;&lt;author&gt;Browning, Don S.&lt;/author&gt;&lt;/authors&gt;&lt;secondary-authors&gt;&lt;author&gt;Nipkow, Karl Ernst&lt;/author&gt;&lt;author&gt;Rössler, Dietrich&lt;/author&gt;&lt;author&gt;Schweitzer, Friedrich&lt;/author&gt;&lt;/secondary-authors&gt;&lt;/contributors&gt;&lt;titles&gt;&lt;title&gt;&lt;style face="normal" font="Century Gothic" size="100%"&gt;Auf dem Weg zu einer Fundamentalen und Strategischen Praktischen  Theologie&lt;/style&gt;&lt;/title&gt;&lt;secondary-title&gt;Praktische Theologie und Kultur der Gegenwart. Ein internationaler Dialog&lt;/secondary-title&gt;&lt;/titles&gt;&lt;pages&gt;21-42&lt;/pages&gt;&lt;dates&gt;&lt;year&gt;1991&lt;/year&gt;&lt;/dates&gt;&lt;pub-location&gt;Gütersloh&lt;/pub-location&gt;&lt;urls&gt;&lt;/urls&gt;&lt;/record&gt;&lt;/Cite&gt;&lt;/EndNote&gt;</w:instrText>
        </w:r>
        <w:r w:rsidR="008918DD">
          <w:fldChar w:fldCharType="separate"/>
        </w:r>
        <w:r w:rsidR="008918DD">
          <w:rPr>
            <w:noProof/>
          </w:rPr>
          <w:t>Browning 1991</w:t>
        </w:r>
        <w:r w:rsidR="008918DD">
          <w:fldChar w:fldCharType="end"/>
        </w:r>
      </w:hyperlink>
      <w:r>
        <w:t>.</w:t>
      </w:r>
    </w:p>
  </w:footnote>
  <w:footnote w:id="7">
    <w:p w14:paraId="65EB3FFA" w14:textId="2599F518" w:rsidR="007443F1" w:rsidRDefault="007443F1">
      <w:pPr>
        <w:pStyle w:val="Funotentext"/>
      </w:pPr>
      <w:r>
        <w:rPr>
          <w:rStyle w:val="Funotenzeichen"/>
        </w:rPr>
        <w:footnoteRef/>
      </w:r>
      <w:r>
        <w:t xml:space="preserve"> Vgl. dazu URL: </w:t>
      </w:r>
      <w:hyperlink r:id="rId1" w:history="1">
        <w:r w:rsidRPr="00E82F6C">
          <w:rPr>
            <w:rStyle w:val="Link"/>
          </w:rPr>
          <w:t>http://www.zrwp.ch</w:t>
        </w:r>
      </w:hyperlink>
      <w:r>
        <w:t xml:space="preserve"> (Zugriff am 31.03.2015).</w:t>
      </w:r>
    </w:p>
  </w:footnote>
  <w:footnote w:id="8">
    <w:p w14:paraId="59A751C0" w14:textId="1F596A1A" w:rsidR="00E42514" w:rsidRDefault="00E42514">
      <w:pPr>
        <w:pStyle w:val="Funotentext"/>
      </w:pPr>
      <w:r>
        <w:rPr>
          <w:rStyle w:val="Funotenzeichen"/>
        </w:rPr>
        <w:footnoteRef/>
      </w:r>
      <w:r>
        <w:t xml:space="preserve"> Praxis ist hier im Sinne Friedrich Schleiermachers (</w:t>
      </w:r>
      <w:hyperlink w:anchor="_ENREF_6" w:tooltip="Schleiermacher, 1982 #1620" w:history="1">
        <w:r w:rsidR="008918DD">
          <w:fldChar w:fldCharType="begin"/>
        </w:r>
        <w:r w:rsidR="008918DD">
          <w:instrText xml:space="preserve"> ADDIN EN.CITE &lt;EndNote&gt;&lt;Cite&gt;&lt;Author&gt;Schleiermacher&lt;/Author&gt;&lt;Year&gt;1982&lt;/Year&gt;&lt;RecNum&gt;1620&lt;/RecNum&gt;&lt;DisplayText&gt;Schleiermacher 1982&lt;/DisplayText&gt;&lt;record&gt;&lt;rec-number&gt;1620&lt;/rec-number&gt;&lt;foreign-keys&gt;&lt;key app="EN" db-id="pa0rtsw99vdfw3ewsayxze5qdf0a0tvd95ss"&gt;1620&lt;/key&gt;&lt;/foreign-keys&gt;&lt;ref-type name="Book"&gt;6&lt;/ref-type&gt;&lt;contributors&gt;&lt;authors&gt;&lt;author&gt;Schleiermacher, Friedrich&lt;/author&gt;&lt;/authors&gt;&lt;/contributors&gt;&lt;titles&gt;&lt;title&gt;Kurze Darstellung des theologischen Studiums zum Behuf einer einleitenden Vorlesung (Leipzig 1910)&lt;/title&gt;&lt;/titles&gt;&lt;edition&gt;3. Aufl.&lt;/edition&gt;&lt;dates&gt;&lt;year&gt;1982&lt;/year&gt;&lt;/dates&gt;&lt;pub-location&gt;Darmstadt&lt;/pub-location&gt;&lt;urls&gt;&lt;/urls&gt;&lt;/record&gt;&lt;/Cite&gt;&lt;/EndNote&gt;</w:instrText>
        </w:r>
        <w:r w:rsidR="008918DD">
          <w:fldChar w:fldCharType="separate"/>
        </w:r>
        <w:r w:rsidR="008918DD">
          <w:rPr>
            <w:noProof/>
          </w:rPr>
          <w:t>Schleiermacher 1982</w:t>
        </w:r>
        <w:r w:rsidR="008918DD">
          <w:fldChar w:fldCharType="end"/>
        </w:r>
      </w:hyperlink>
      <w:bookmarkStart w:id="0" w:name="_GoBack"/>
      <w:bookmarkEnd w:id="0"/>
      <w:r>
        <w:t xml:space="preserve">) </w:t>
      </w:r>
      <w:r w:rsidR="007249AD">
        <w:t>und</w:t>
      </w:r>
      <w:r>
        <w:t xml:space="preserve"> Don S. Browning</w:t>
      </w:r>
      <w:r w:rsidR="007249AD">
        <w:t>s</w:t>
      </w:r>
      <w:r>
        <w:t xml:space="preserve"> </w:t>
      </w:r>
      <w:r w:rsidR="007249AD">
        <w:t>(</w:t>
      </w:r>
      <w:hyperlink w:anchor="_ENREF_1" w:tooltip="Browning, 1991 #750" w:history="1">
        <w:r w:rsidR="008918DD">
          <w:fldChar w:fldCharType="begin"/>
        </w:r>
        <w:r w:rsidR="008918DD">
          <w:instrText xml:space="preserve"> ADDIN EN.CITE &lt;EndNote&gt;&lt;Cite&gt;&lt;Author&gt;Browning&lt;/Author&gt;&lt;Year&gt;1991&lt;/Year&gt;&lt;RecNum&gt;750&lt;/RecNum&gt;&lt;DisplayText&gt;Browning 1991&lt;/DisplayText&gt;&lt;record&gt;&lt;rec-number&gt;750&lt;/rec-number&gt;&lt;foreign-keys&gt;&lt;key app="EN" db-id="pa0rtsw99vdfw3ewsayxze5qdf0a0tvd95ss"&gt;750&lt;/key&gt;&lt;/foreign-keys&gt;&lt;ref-type name="Book Section"&gt;5&lt;/ref-type&gt;&lt;contributors&gt;&lt;authors&gt;&lt;author&gt;Browning, Don S.&lt;/author&gt;&lt;/authors&gt;&lt;secondary-authors&gt;&lt;author&gt;Nipkow, Karl Ernst&lt;/author&gt;&lt;author&gt;Rössler, Dietrich&lt;/author&gt;&lt;author&gt;Schweitzer, Friedrich&lt;/author&gt;&lt;/secondary-authors&gt;&lt;/contributors&gt;&lt;titles&gt;&lt;title&gt;&lt;style face="normal" font="Century Gothic" size="100%"&gt;Auf dem Weg zu einer Fundamentalen und Strategischen Praktischen  Theologie&lt;/style&gt;&lt;/title&gt;&lt;secondary-title&gt;Praktische Theologie und Kultur der Gegenwart. Ein internationaler Dialog&lt;/secondary-title&gt;&lt;/titles&gt;&lt;pages&gt;21-42&lt;/pages&gt;&lt;dates&gt;&lt;year&gt;1991&lt;/year&gt;&lt;/dates&gt;&lt;pub-location&gt;Gütersloh&lt;/pub-location&gt;&lt;urls&gt;&lt;/urls&gt;&lt;/record&gt;&lt;/Cite&gt;&lt;/EndNote&gt;</w:instrText>
        </w:r>
        <w:r w:rsidR="008918DD">
          <w:fldChar w:fldCharType="separate"/>
        </w:r>
        <w:r w:rsidR="008918DD">
          <w:rPr>
            <w:noProof/>
          </w:rPr>
          <w:t>Browning 1991</w:t>
        </w:r>
        <w:r w:rsidR="008918DD">
          <w:fldChar w:fldCharType="end"/>
        </w:r>
      </w:hyperlink>
      <w:r w:rsidR="007249AD">
        <w:t xml:space="preserve">) </w:t>
      </w:r>
      <w:r>
        <w:t>verstanden.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442"/>
    <w:multiLevelType w:val="multilevel"/>
    <w:tmpl w:val="4A309A5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06244BF2"/>
    <w:multiLevelType w:val="hybridMultilevel"/>
    <w:tmpl w:val="4E9AD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B713C4"/>
    <w:multiLevelType w:val="hybridMultilevel"/>
    <w:tmpl w:val="DCE01B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AD5AB4"/>
    <w:multiLevelType w:val="hybridMultilevel"/>
    <w:tmpl w:val="1FD829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C441191"/>
    <w:multiLevelType w:val="hybridMultilevel"/>
    <w:tmpl w:val="A65A5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4BE6BFA"/>
    <w:multiLevelType w:val="hybridMultilevel"/>
    <w:tmpl w:val="4B14B3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DP12&lt;/Style&gt;&lt;LeftDelim&gt;{&lt;/LeftDelim&gt;&lt;RightDelim&gt;}&lt;/RightDelim&gt;&lt;FontName&gt;Calibri&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a0rtsw99vdfw3ewsayxze5qdf0a0tvd95ss&quot;&gt;Habil.Bibl-converted&lt;record-ids&gt;&lt;item&gt;488&lt;/item&gt;&lt;item&gt;584&lt;/item&gt;&lt;item&gt;660&lt;/item&gt;&lt;item&gt;750&lt;/item&gt;&lt;item&gt;1000&lt;/item&gt;&lt;item&gt;1620&lt;/item&gt;&lt;/record-ids&gt;&lt;/item&gt;&lt;/Libraries&gt;"/>
  </w:docVars>
  <w:rsids>
    <w:rsidRoot w:val="00B808E3"/>
    <w:rsid w:val="00000973"/>
    <w:rsid w:val="00006119"/>
    <w:rsid w:val="0001300E"/>
    <w:rsid w:val="00025F8B"/>
    <w:rsid w:val="00034A53"/>
    <w:rsid w:val="00045692"/>
    <w:rsid w:val="00045746"/>
    <w:rsid w:val="0006289A"/>
    <w:rsid w:val="00064908"/>
    <w:rsid w:val="00086910"/>
    <w:rsid w:val="000B50E3"/>
    <w:rsid w:val="000D489B"/>
    <w:rsid w:val="000E26CC"/>
    <w:rsid w:val="000E40FD"/>
    <w:rsid w:val="000E5BD3"/>
    <w:rsid w:val="00100615"/>
    <w:rsid w:val="001430B9"/>
    <w:rsid w:val="00151283"/>
    <w:rsid w:val="001521F4"/>
    <w:rsid w:val="001710BD"/>
    <w:rsid w:val="00182D14"/>
    <w:rsid w:val="00262974"/>
    <w:rsid w:val="00263475"/>
    <w:rsid w:val="002869DA"/>
    <w:rsid w:val="002927BA"/>
    <w:rsid w:val="002A6A8A"/>
    <w:rsid w:val="002B03CE"/>
    <w:rsid w:val="002B2719"/>
    <w:rsid w:val="002D4FC3"/>
    <w:rsid w:val="002D6D7E"/>
    <w:rsid w:val="002E1E47"/>
    <w:rsid w:val="002F1030"/>
    <w:rsid w:val="0031213D"/>
    <w:rsid w:val="00312E18"/>
    <w:rsid w:val="00322B10"/>
    <w:rsid w:val="00337F9D"/>
    <w:rsid w:val="00341FB1"/>
    <w:rsid w:val="00344B9E"/>
    <w:rsid w:val="00351196"/>
    <w:rsid w:val="00363CA6"/>
    <w:rsid w:val="00365256"/>
    <w:rsid w:val="00370FF1"/>
    <w:rsid w:val="0038027C"/>
    <w:rsid w:val="00380F60"/>
    <w:rsid w:val="00387313"/>
    <w:rsid w:val="003B4269"/>
    <w:rsid w:val="003B50E0"/>
    <w:rsid w:val="003D1586"/>
    <w:rsid w:val="003D21C0"/>
    <w:rsid w:val="003E6C84"/>
    <w:rsid w:val="0040619C"/>
    <w:rsid w:val="004078CA"/>
    <w:rsid w:val="00416B89"/>
    <w:rsid w:val="00494356"/>
    <w:rsid w:val="004A0736"/>
    <w:rsid w:val="004A633C"/>
    <w:rsid w:val="004A79E5"/>
    <w:rsid w:val="004C03F5"/>
    <w:rsid w:val="004C0F22"/>
    <w:rsid w:val="004D2FF6"/>
    <w:rsid w:val="004E5853"/>
    <w:rsid w:val="004E682C"/>
    <w:rsid w:val="004F6E3A"/>
    <w:rsid w:val="00517D76"/>
    <w:rsid w:val="00525E2A"/>
    <w:rsid w:val="005461E3"/>
    <w:rsid w:val="00557A43"/>
    <w:rsid w:val="0056066E"/>
    <w:rsid w:val="00560751"/>
    <w:rsid w:val="00563016"/>
    <w:rsid w:val="00564BD6"/>
    <w:rsid w:val="00570868"/>
    <w:rsid w:val="00574B95"/>
    <w:rsid w:val="00575330"/>
    <w:rsid w:val="005B400A"/>
    <w:rsid w:val="005C2DFF"/>
    <w:rsid w:val="005C34D0"/>
    <w:rsid w:val="005C5CB5"/>
    <w:rsid w:val="005C5ECF"/>
    <w:rsid w:val="005D4272"/>
    <w:rsid w:val="005D5576"/>
    <w:rsid w:val="00635D43"/>
    <w:rsid w:val="00656CBB"/>
    <w:rsid w:val="00674459"/>
    <w:rsid w:val="0068639D"/>
    <w:rsid w:val="0069089A"/>
    <w:rsid w:val="006C3714"/>
    <w:rsid w:val="006E3EDD"/>
    <w:rsid w:val="006E5A19"/>
    <w:rsid w:val="00710AB0"/>
    <w:rsid w:val="00722CDF"/>
    <w:rsid w:val="007249AD"/>
    <w:rsid w:val="00742FEE"/>
    <w:rsid w:val="00743AA2"/>
    <w:rsid w:val="007443F1"/>
    <w:rsid w:val="0075288C"/>
    <w:rsid w:val="007531AF"/>
    <w:rsid w:val="007A77F9"/>
    <w:rsid w:val="007B315A"/>
    <w:rsid w:val="007B4552"/>
    <w:rsid w:val="007B4BB4"/>
    <w:rsid w:val="007D58F4"/>
    <w:rsid w:val="00803870"/>
    <w:rsid w:val="008115A1"/>
    <w:rsid w:val="008172D9"/>
    <w:rsid w:val="008252E3"/>
    <w:rsid w:val="008336E2"/>
    <w:rsid w:val="00835705"/>
    <w:rsid w:val="0085151F"/>
    <w:rsid w:val="00860C74"/>
    <w:rsid w:val="008918DD"/>
    <w:rsid w:val="008A50DE"/>
    <w:rsid w:val="008B05D4"/>
    <w:rsid w:val="008D765A"/>
    <w:rsid w:val="008E23A0"/>
    <w:rsid w:val="00910BF6"/>
    <w:rsid w:val="00931AF0"/>
    <w:rsid w:val="009400AF"/>
    <w:rsid w:val="009421FD"/>
    <w:rsid w:val="00944A74"/>
    <w:rsid w:val="00972906"/>
    <w:rsid w:val="00977475"/>
    <w:rsid w:val="009A7D0F"/>
    <w:rsid w:val="009B79E6"/>
    <w:rsid w:val="009C63AB"/>
    <w:rsid w:val="009E2D5B"/>
    <w:rsid w:val="009E7885"/>
    <w:rsid w:val="00A005F2"/>
    <w:rsid w:val="00A023B9"/>
    <w:rsid w:val="00A133AD"/>
    <w:rsid w:val="00A14500"/>
    <w:rsid w:val="00A27F73"/>
    <w:rsid w:val="00A30136"/>
    <w:rsid w:val="00A36AB3"/>
    <w:rsid w:val="00A36C86"/>
    <w:rsid w:val="00A52672"/>
    <w:rsid w:val="00A61B12"/>
    <w:rsid w:val="00A9649D"/>
    <w:rsid w:val="00AC2E75"/>
    <w:rsid w:val="00AC73F0"/>
    <w:rsid w:val="00AD727B"/>
    <w:rsid w:val="00AF2335"/>
    <w:rsid w:val="00AF55EA"/>
    <w:rsid w:val="00B077A9"/>
    <w:rsid w:val="00B24181"/>
    <w:rsid w:val="00B26945"/>
    <w:rsid w:val="00B451EE"/>
    <w:rsid w:val="00B51C60"/>
    <w:rsid w:val="00B65E8C"/>
    <w:rsid w:val="00B672CB"/>
    <w:rsid w:val="00B74496"/>
    <w:rsid w:val="00B7566D"/>
    <w:rsid w:val="00B808E3"/>
    <w:rsid w:val="00B9442F"/>
    <w:rsid w:val="00B96856"/>
    <w:rsid w:val="00BA6766"/>
    <w:rsid w:val="00BB33AC"/>
    <w:rsid w:val="00BB3BE9"/>
    <w:rsid w:val="00BB73A6"/>
    <w:rsid w:val="00BE49F1"/>
    <w:rsid w:val="00BF1806"/>
    <w:rsid w:val="00C11E66"/>
    <w:rsid w:val="00C16A3F"/>
    <w:rsid w:val="00C2419A"/>
    <w:rsid w:val="00C27E02"/>
    <w:rsid w:val="00C44557"/>
    <w:rsid w:val="00C605D9"/>
    <w:rsid w:val="00C80C42"/>
    <w:rsid w:val="00C87ED1"/>
    <w:rsid w:val="00CA0D94"/>
    <w:rsid w:val="00CA6F1A"/>
    <w:rsid w:val="00CB0FE7"/>
    <w:rsid w:val="00CD6EA9"/>
    <w:rsid w:val="00CE37E4"/>
    <w:rsid w:val="00D03011"/>
    <w:rsid w:val="00D10657"/>
    <w:rsid w:val="00D35450"/>
    <w:rsid w:val="00D525D2"/>
    <w:rsid w:val="00D90B21"/>
    <w:rsid w:val="00DA320F"/>
    <w:rsid w:val="00DB669E"/>
    <w:rsid w:val="00DB7B7B"/>
    <w:rsid w:val="00DC713C"/>
    <w:rsid w:val="00E07905"/>
    <w:rsid w:val="00E42514"/>
    <w:rsid w:val="00E43DE8"/>
    <w:rsid w:val="00E74127"/>
    <w:rsid w:val="00E818C9"/>
    <w:rsid w:val="00EA4C74"/>
    <w:rsid w:val="00EB4DC2"/>
    <w:rsid w:val="00EB51EF"/>
    <w:rsid w:val="00EC7EA3"/>
    <w:rsid w:val="00ED008F"/>
    <w:rsid w:val="00EF2BD2"/>
    <w:rsid w:val="00EF6EEF"/>
    <w:rsid w:val="00F01ECD"/>
    <w:rsid w:val="00F157A1"/>
    <w:rsid w:val="00F31947"/>
    <w:rsid w:val="00F33289"/>
    <w:rsid w:val="00F406E6"/>
    <w:rsid w:val="00F535A2"/>
    <w:rsid w:val="00F71BC6"/>
    <w:rsid w:val="00F7264F"/>
    <w:rsid w:val="00F976CD"/>
    <w:rsid w:val="00FB1F31"/>
    <w:rsid w:val="00FD1A6D"/>
    <w:rsid w:val="00FD3220"/>
    <w:rsid w:val="00FD6C2B"/>
    <w:rsid w:val="00FF32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0106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C2B"/>
    <w:pPr>
      <w:spacing w:line="360" w:lineRule="auto"/>
    </w:pPr>
    <w:rPr>
      <w:rFonts w:asciiTheme="majorHAnsi" w:hAnsiTheme="majorHAnsi"/>
      <w:sz w:val="28"/>
    </w:rPr>
  </w:style>
  <w:style w:type="paragraph" w:styleId="berschrift1">
    <w:name w:val="heading 1"/>
    <w:basedOn w:val="Standard"/>
    <w:next w:val="Standard"/>
    <w:link w:val="berschrift1Zeichen"/>
    <w:uiPriority w:val="9"/>
    <w:qFormat/>
    <w:rsid w:val="002E1E47"/>
    <w:pPr>
      <w:keepNext/>
      <w:keepLines/>
      <w:numPr>
        <w:numId w:val="6"/>
      </w:numPr>
      <w:spacing w:before="480"/>
      <w:outlineLvl w:val="0"/>
    </w:pPr>
    <w:rPr>
      <w:rFonts w:eastAsiaTheme="majorEastAsia"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2E1E47"/>
    <w:pPr>
      <w:keepNext/>
      <w:keepLines/>
      <w:numPr>
        <w:ilvl w:val="1"/>
        <w:numId w:val="6"/>
      </w:numPr>
      <w:spacing w:before="20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2E1E47"/>
    <w:pPr>
      <w:keepNext/>
      <w:keepLines/>
      <w:numPr>
        <w:ilvl w:val="2"/>
        <w:numId w:val="6"/>
      </w:numPr>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eichen"/>
    <w:uiPriority w:val="9"/>
    <w:semiHidden/>
    <w:unhideWhenUsed/>
    <w:qFormat/>
    <w:rsid w:val="002E1E47"/>
    <w:pPr>
      <w:keepNext/>
      <w:keepLines/>
      <w:numPr>
        <w:ilvl w:val="3"/>
        <w:numId w:val="6"/>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2E1E47"/>
    <w:pPr>
      <w:keepNext/>
      <w:keepLines/>
      <w:numPr>
        <w:ilvl w:val="4"/>
        <w:numId w:val="6"/>
      </w:numPr>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2E1E47"/>
    <w:pPr>
      <w:keepNext/>
      <w:keepLines/>
      <w:numPr>
        <w:ilvl w:val="5"/>
        <w:numId w:val="6"/>
      </w:numPr>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2E1E47"/>
    <w:pPr>
      <w:keepNext/>
      <w:keepLines/>
      <w:numPr>
        <w:ilvl w:val="6"/>
        <w:numId w:val="6"/>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2E1E47"/>
    <w:pPr>
      <w:keepNext/>
      <w:keepLines/>
      <w:numPr>
        <w:ilvl w:val="7"/>
        <w:numId w:val="6"/>
      </w:numPr>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2E1E47"/>
    <w:pPr>
      <w:keepNext/>
      <w:keepLines/>
      <w:numPr>
        <w:ilvl w:val="8"/>
        <w:numId w:val="6"/>
      </w:numPr>
      <w:spacing w:before="20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B808E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B808E3"/>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CB0FE7"/>
    <w:pPr>
      <w:ind w:left="720"/>
      <w:contextualSpacing/>
    </w:pPr>
  </w:style>
  <w:style w:type="paragraph" w:styleId="Fuzeile">
    <w:name w:val="footer"/>
    <w:basedOn w:val="Standard"/>
    <w:link w:val="FuzeileZeichen"/>
    <w:uiPriority w:val="99"/>
    <w:unhideWhenUsed/>
    <w:rsid w:val="00E07905"/>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E07905"/>
    <w:rPr>
      <w:rFonts w:asciiTheme="majorHAnsi" w:hAnsiTheme="majorHAnsi"/>
    </w:rPr>
  </w:style>
  <w:style w:type="character" w:styleId="Seitenzahl">
    <w:name w:val="page number"/>
    <w:basedOn w:val="Absatzstandardschriftart"/>
    <w:uiPriority w:val="99"/>
    <w:semiHidden/>
    <w:unhideWhenUsed/>
    <w:rsid w:val="00E07905"/>
  </w:style>
  <w:style w:type="character" w:customStyle="1" w:styleId="berschrift2Zeichen">
    <w:name w:val="Überschrift 2 Zeichen"/>
    <w:basedOn w:val="Absatzstandardschriftart"/>
    <w:link w:val="berschrift2"/>
    <w:uiPriority w:val="9"/>
    <w:rsid w:val="002E1E47"/>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eichen"/>
    <w:uiPriority w:val="11"/>
    <w:qFormat/>
    <w:rsid w:val="00E43DE8"/>
    <w:pPr>
      <w:numPr>
        <w:ilvl w:val="1"/>
      </w:numPr>
    </w:pPr>
    <w:rPr>
      <w:rFonts w:eastAsiaTheme="majorEastAsia" w:cstheme="majorBidi"/>
      <w:i/>
      <w:iCs/>
      <w:color w:val="4F81BD" w:themeColor="accent1"/>
      <w:spacing w:val="15"/>
      <w:sz w:val="24"/>
    </w:rPr>
  </w:style>
  <w:style w:type="character" w:customStyle="1" w:styleId="UntertitelZeichen">
    <w:name w:val="Untertitel Zeichen"/>
    <w:basedOn w:val="Absatzstandardschriftart"/>
    <w:link w:val="Untertitel"/>
    <w:uiPriority w:val="11"/>
    <w:rsid w:val="00E43DE8"/>
    <w:rPr>
      <w:rFonts w:asciiTheme="majorHAnsi" w:eastAsiaTheme="majorEastAsia" w:hAnsiTheme="majorHAnsi" w:cstheme="majorBidi"/>
      <w:i/>
      <w:iCs/>
      <w:color w:val="4F81BD" w:themeColor="accent1"/>
      <w:spacing w:val="15"/>
    </w:rPr>
  </w:style>
  <w:style w:type="character" w:customStyle="1" w:styleId="berschrift1Zeichen">
    <w:name w:val="Überschrift 1 Zeichen"/>
    <w:basedOn w:val="Absatzstandardschriftart"/>
    <w:link w:val="berschrift1"/>
    <w:uiPriority w:val="9"/>
    <w:rsid w:val="002E1E47"/>
    <w:rPr>
      <w:rFonts w:asciiTheme="majorHAnsi" w:eastAsiaTheme="majorEastAsia" w:hAnsiTheme="majorHAnsi" w:cstheme="majorBidi"/>
      <w:b/>
      <w:bCs/>
      <w:color w:val="345A8A" w:themeColor="accent1" w:themeShade="B5"/>
      <w:sz w:val="32"/>
      <w:szCs w:val="32"/>
    </w:rPr>
  </w:style>
  <w:style w:type="paragraph" w:styleId="Funotentext">
    <w:name w:val="footnote text"/>
    <w:basedOn w:val="Standard"/>
    <w:link w:val="FunotentextZeichen"/>
    <w:uiPriority w:val="99"/>
    <w:unhideWhenUsed/>
    <w:rsid w:val="002D6D7E"/>
    <w:pPr>
      <w:spacing w:line="240" w:lineRule="auto"/>
    </w:pPr>
    <w:rPr>
      <w:sz w:val="24"/>
    </w:rPr>
  </w:style>
  <w:style w:type="character" w:customStyle="1" w:styleId="berschrift3Zeichen">
    <w:name w:val="Überschrift 3 Zeichen"/>
    <w:basedOn w:val="Absatzstandardschriftart"/>
    <w:link w:val="berschrift3"/>
    <w:uiPriority w:val="9"/>
    <w:semiHidden/>
    <w:rsid w:val="002E1E47"/>
    <w:rPr>
      <w:rFonts w:asciiTheme="majorHAnsi" w:eastAsiaTheme="majorEastAsia" w:hAnsiTheme="majorHAnsi" w:cstheme="majorBidi"/>
      <w:b/>
      <w:bCs/>
      <w:color w:val="4F81BD" w:themeColor="accent1"/>
      <w:sz w:val="28"/>
    </w:rPr>
  </w:style>
  <w:style w:type="character" w:customStyle="1" w:styleId="berschrift4Zeichen">
    <w:name w:val="Überschrift 4 Zeichen"/>
    <w:basedOn w:val="Absatzstandardschriftart"/>
    <w:link w:val="berschrift4"/>
    <w:uiPriority w:val="9"/>
    <w:semiHidden/>
    <w:rsid w:val="002E1E47"/>
    <w:rPr>
      <w:rFonts w:asciiTheme="majorHAnsi" w:eastAsiaTheme="majorEastAsia" w:hAnsiTheme="majorHAnsi" w:cstheme="majorBidi"/>
      <w:b/>
      <w:bCs/>
      <w:i/>
      <w:iCs/>
      <w:color w:val="4F81BD" w:themeColor="accent1"/>
      <w:sz w:val="28"/>
    </w:rPr>
  </w:style>
  <w:style w:type="character" w:customStyle="1" w:styleId="berschrift5Zeichen">
    <w:name w:val="Überschrift 5 Zeichen"/>
    <w:basedOn w:val="Absatzstandardschriftart"/>
    <w:link w:val="berschrift5"/>
    <w:uiPriority w:val="9"/>
    <w:semiHidden/>
    <w:rsid w:val="002E1E47"/>
    <w:rPr>
      <w:rFonts w:asciiTheme="majorHAnsi" w:eastAsiaTheme="majorEastAsia" w:hAnsiTheme="majorHAnsi" w:cstheme="majorBidi"/>
      <w:color w:val="243F60" w:themeColor="accent1" w:themeShade="7F"/>
      <w:sz w:val="28"/>
    </w:rPr>
  </w:style>
  <w:style w:type="character" w:customStyle="1" w:styleId="berschrift6Zeichen">
    <w:name w:val="Überschrift 6 Zeichen"/>
    <w:basedOn w:val="Absatzstandardschriftart"/>
    <w:link w:val="berschrift6"/>
    <w:uiPriority w:val="9"/>
    <w:semiHidden/>
    <w:rsid w:val="002E1E47"/>
    <w:rPr>
      <w:rFonts w:asciiTheme="majorHAnsi" w:eastAsiaTheme="majorEastAsia" w:hAnsiTheme="majorHAnsi" w:cstheme="majorBidi"/>
      <w:i/>
      <w:iCs/>
      <w:color w:val="243F60" w:themeColor="accent1" w:themeShade="7F"/>
      <w:sz w:val="28"/>
    </w:rPr>
  </w:style>
  <w:style w:type="character" w:customStyle="1" w:styleId="berschrift7Zeichen">
    <w:name w:val="Überschrift 7 Zeichen"/>
    <w:basedOn w:val="Absatzstandardschriftart"/>
    <w:link w:val="berschrift7"/>
    <w:uiPriority w:val="9"/>
    <w:semiHidden/>
    <w:rsid w:val="002E1E47"/>
    <w:rPr>
      <w:rFonts w:asciiTheme="majorHAnsi" w:eastAsiaTheme="majorEastAsia" w:hAnsiTheme="majorHAnsi" w:cstheme="majorBidi"/>
      <w:i/>
      <w:iCs/>
      <w:color w:val="404040" w:themeColor="text1" w:themeTint="BF"/>
      <w:sz w:val="28"/>
    </w:rPr>
  </w:style>
  <w:style w:type="character" w:customStyle="1" w:styleId="berschrift8Zeichen">
    <w:name w:val="Überschrift 8 Zeichen"/>
    <w:basedOn w:val="Absatzstandardschriftart"/>
    <w:link w:val="berschrift8"/>
    <w:uiPriority w:val="9"/>
    <w:semiHidden/>
    <w:rsid w:val="002E1E47"/>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semiHidden/>
    <w:rsid w:val="002E1E47"/>
    <w:rPr>
      <w:rFonts w:asciiTheme="majorHAnsi" w:eastAsiaTheme="majorEastAsia" w:hAnsiTheme="majorHAnsi" w:cstheme="majorBidi"/>
      <w:i/>
      <w:iCs/>
      <w:color w:val="404040" w:themeColor="text1" w:themeTint="BF"/>
      <w:sz w:val="20"/>
      <w:szCs w:val="20"/>
    </w:rPr>
  </w:style>
  <w:style w:type="character" w:customStyle="1" w:styleId="FunotentextZeichen">
    <w:name w:val="Fußnotentext Zeichen"/>
    <w:basedOn w:val="Absatzstandardschriftart"/>
    <w:link w:val="Funotentext"/>
    <w:uiPriority w:val="99"/>
    <w:rsid w:val="002D6D7E"/>
    <w:rPr>
      <w:rFonts w:asciiTheme="majorHAnsi" w:hAnsiTheme="majorHAnsi"/>
    </w:rPr>
  </w:style>
  <w:style w:type="character" w:styleId="Funotenzeichen">
    <w:name w:val="footnote reference"/>
    <w:basedOn w:val="Absatzstandardschriftart"/>
    <w:uiPriority w:val="99"/>
    <w:unhideWhenUsed/>
    <w:rsid w:val="002D6D7E"/>
    <w:rPr>
      <w:vertAlign w:val="superscript"/>
    </w:rPr>
  </w:style>
  <w:style w:type="character" w:styleId="Link">
    <w:name w:val="Hyperlink"/>
    <w:basedOn w:val="Absatzstandardschriftart"/>
    <w:uiPriority w:val="99"/>
    <w:unhideWhenUsed/>
    <w:rsid w:val="00C445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C2B"/>
    <w:pPr>
      <w:spacing w:line="360" w:lineRule="auto"/>
    </w:pPr>
    <w:rPr>
      <w:rFonts w:asciiTheme="majorHAnsi" w:hAnsiTheme="majorHAnsi"/>
      <w:sz w:val="28"/>
    </w:rPr>
  </w:style>
  <w:style w:type="paragraph" w:styleId="berschrift1">
    <w:name w:val="heading 1"/>
    <w:basedOn w:val="Standard"/>
    <w:next w:val="Standard"/>
    <w:link w:val="berschrift1Zeichen"/>
    <w:uiPriority w:val="9"/>
    <w:qFormat/>
    <w:rsid w:val="002E1E47"/>
    <w:pPr>
      <w:keepNext/>
      <w:keepLines/>
      <w:numPr>
        <w:numId w:val="6"/>
      </w:numPr>
      <w:spacing w:before="480"/>
      <w:outlineLvl w:val="0"/>
    </w:pPr>
    <w:rPr>
      <w:rFonts w:eastAsiaTheme="majorEastAsia"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2E1E47"/>
    <w:pPr>
      <w:keepNext/>
      <w:keepLines/>
      <w:numPr>
        <w:ilvl w:val="1"/>
        <w:numId w:val="6"/>
      </w:numPr>
      <w:spacing w:before="20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2E1E47"/>
    <w:pPr>
      <w:keepNext/>
      <w:keepLines/>
      <w:numPr>
        <w:ilvl w:val="2"/>
        <w:numId w:val="6"/>
      </w:numPr>
      <w:spacing w:before="200"/>
      <w:outlineLvl w:val="2"/>
    </w:pPr>
    <w:rPr>
      <w:rFonts w:eastAsiaTheme="majorEastAsia" w:cstheme="majorBidi"/>
      <w:b/>
      <w:bCs/>
      <w:color w:val="4F81BD" w:themeColor="accent1"/>
    </w:rPr>
  </w:style>
  <w:style w:type="paragraph" w:styleId="berschrift4">
    <w:name w:val="heading 4"/>
    <w:basedOn w:val="Standard"/>
    <w:next w:val="Standard"/>
    <w:link w:val="berschrift4Zeichen"/>
    <w:uiPriority w:val="9"/>
    <w:semiHidden/>
    <w:unhideWhenUsed/>
    <w:qFormat/>
    <w:rsid w:val="002E1E47"/>
    <w:pPr>
      <w:keepNext/>
      <w:keepLines/>
      <w:numPr>
        <w:ilvl w:val="3"/>
        <w:numId w:val="6"/>
      </w:numPr>
      <w:spacing w:before="200"/>
      <w:outlineLvl w:val="3"/>
    </w:pPr>
    <w:rPr>
      <w:rFonts w:eastAsiaTheme="majorEastAsia"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2E1E47"/>
    <w:pPr>
      <w:keepNext/>
      <w:keepLines/>
      <w:numPr>
        <w:ilvl w:val="4"/>
        <w:numId w:val="6"/>
      </w:numPr>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2E1E47"/>
    <w:pPr>
      <w:keepNext/>
      <w:keepLines/>
      <w:numPr>
        <w:ilvl w:val="5"/>
        <w:numId w:val="6"/>
      </w:numPr>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2E1E47"/>
    <w:pPr>
      <w:keepNext/>
      <w:keepLines/>
      <w:numPr>
        <w:ilvl w:val="6"/>
        <w:numId w:val="6"/>
      </w:numPr>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2E1E47"/>
    <w:pPr>
      <w:keepNext/>
      <w:keepLines/>
      <w:numPr>
        <w:ilvl w:val="7"/>
        <w:numId w:val="6"/>
      </w:numPr>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2E1E47"/>
    <w:pPr>
      <w:keepNext/>
      <w:keepLines/>
      <w:numPr>
        <w:ilvl w:val="8"/>
        <w:numId w:val="6"/>
      </w:numPr>
      <w:spacing w:before="200"/>
      <w:outlineLvl w:val="8"/>
    </w:pPr>
    <w:rPr>
      <w:rFonts w:eastAsiaTheme="majorEastAsia"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B808E3"/>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B808E3"/>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CB0FE7"/>
    <w:pPr>
      <w:ind w:left="720"/>
      <w:contextualSpacing/>
    </w:pPr>
  </w:style>
  <w:style w:type="paragraph" w:styleId="Fuzeile">
    <w:name w:val="footer"/>
    <w:basedOn w:val="Standard"/>
    <w:link w:val="FuzeileZeichen"/>
    <w:uiPriority w:val="99"/>
    <w:unhideWhenUsed/>
    <w:rsid w:val="00E07905"/>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E07905"/>
    <w:rPr>
      <w:rFonts w:asciiTheme="majorHAnsi" w:hAnsiTheme="majorHAnsi"/>
    </w:rPr>
  </w:style>
  <w:style w:type="character" w:styleId="Seitenzahl">
    <w:name w:val="page number"/>
    <w:basedOn w:val="Absatzstandardschriftart"/>
    <w:uiPriority w:val="99"/>
    <w:semiHidden/>
    <w:unhideWhenUsed/>
    <w:rsid w:val="00E07905"/>
  </w:style>
  <w:style w:type="character" w:customStyle="1" w:styleId="berschrift2Zeichen">
    <w:name w:val="Überschrift 2 Zeichen"/>
    <w:basedOn w:val="Absatzstandardschriftart"/>
    <w:link w:val="berschrift2"/>
    <w:uiPriority w:val="9"/>
    <w:rsid w:val="002E1E47"/>
    <w:rPr>
      <w:rFonts w:asciiTheme="majorHAnsi" w:eastAsiaTheme="majorEastAsia" w:hAnsiTheme="majorHAnsi" w:cstheme="majorBidi"/>
      <w:b/>
      <w:bCs/>
      <w:color w:val="4F81BD" w:themeColor="accent1"/>
      <w:sz w:val="26"/>
      <w:szCs w:val="26"/>
    </w:rPr>
  </w:style>
  <w:style w:type="paragraph" w:styleId="Untertitel">
    <w:name w:val="Subtitle"/>
    <w:basedOn w:val="Standard"/>
    <w:next w:val="Standard"/>
    <w:link w:val="UntertitelZeichen"/>
    <w:uiPriority w:val="11"/>
    <w:qFormat/>
    <w:rsid w:val="00E43DE8"/>
    <w:pPr>
      <w:numPr>
        <w:ilvl w:val="1"/>
      </w:numPr>
    </w:pPr>
    <w:rPr>
      <w:rFonts w:eastAsiaTheme="majorEastAsia" w:cstheme="majorBidi"/>
      <w:i/>
      <w:iCs/>
      <w:color w:val="4F81BD" w:themeColor="accent1"/>
      <w:spacing w:val="15"/>
      <w:sz w:val="24"/>
    </w:rPr>
  </w:style>
  <w:style w:type="character" w:customStyle="1" w:styleId="UntertitelZeichen">
    <w:name w:val="Untertitel Zeichen"/>
    <w:basedOn w:val="Absatzstandardschriftart"/>
    <w:link w:val="Untertitel"/>
    <w:uiPriority w:val="11"/>
    <w:rsid w:val="00E43DE8"/>
    <w:rPr>
      <w:rFonts w:asciiTheme="majorHAnsi" w:eastAsiaTheme="majorEastAsia" w:hAnsiTheme="majorHAnsi" w:cstheme="majorBidi"/>
      <w:i/>
      <w:iCs/>
      <w:color w:val="4F81BD" w:themeColor="accent1"/>
      <w:spacing w:val="15"/>
    </w:rPr>
  </w:style>
  <w:style w:type="character" w:customStyle="1" w:styleId="berschrift1Zeichen">
    <w:name w:val="Überschrift 1 Zeichen"/>
    <w:basedOn w:val="Absatzstandardschriftart"/>
    <w:link w:val="berschrift1"/>
    <w:uiPriority w:val="9"/>
    <w:rsid w:val="002E1E47"/>
    <w:rPr>
      <w:rFonts w:asciiTheme="majorHAnsi" w:eastAsiaTheme="majorEastAsia" w:hAnsiTheme="majorHAnsi" w:cstheme="majorBidi"/>
      <w:b/>
      <w:bCs/>
      <w:color w:val="345A8A" w:themeColor="accent1" w:themeShade="B5"/>
      <w:sz w:val="32"/>
      <w:szCs w:val="32"/>
    </w:rPr>
  </w:style>
  <w:style w:type="paragraph" w:styleId="Funotentext">
    <w:name w:val="footnote text"/>
    <w:basedOn w:val="Standard"/>
    <w:link w:val="FunotentextZeichen"/>
    <w:uiPriority w:val="99"/>
    <w:unhideWhenUsed/>
    <w:rsid w:val="002D6D7E"/>
    <w:pPr>
      <w:spacing w:line="240" w:lineRule="auto"/>
    </w:pPr>
    <w:rPr>
      <w:sz w:val="24"/>
    </w:rPr>
  </w:style>
  <w:style w:type="character" w:customStyle="1" w:styleId="berschrift3Zeichen">
    <w:name w:val="Überschrift 3 Zeichen"/>
    <w:basedOn w:val="Absatzstandardschriftart"/>
    <w:link w:val="berschrift3"/>
    <w:uiPriority w:val="9"/>
    <w:semiHidden/>
    <w:rsid w:val="002E1E47"/>
    <w:rPr>
      <w:rFonts w:asciiTheme="majorHAnsi" w:eastAsiaTheme="majorEastAsia" w:hAnsiTheme="majorHAnsi" w:cstheme="majorBidi"/>
      <w:b/>
      <w:bCs/>
      <w:color w:val="4F81BD" w:themeColor="accent1"/>
      <w:sz w:val="28"/>
    </w:rPr>
  </w:style>
  <w:style w:type="character" w:customStyle="1" w:styleId="berschrift4Zeichen">
    <w:name w:val="Überschrift 4 Zeichen"/>
    <w:basedOn w:val="Absatzstandardschriftart"/>
    <w:link w:val="berschrift4"/>
    <w:uiPriority w:val="9"/>
    <w:semiHidden/>
    <w:rsid w:val="002E1E47"/>
    <w:rPr>
      <w:rFonts w:asciiTheme="majorHAnsi" w:eastAsiaTheme="majorEastAsia" w:hAnsiTheme="majorHAnsi" w:cstheme="majorBidi"/>
      <w:b/>
      <w:bCs/>
      <w:i/>
      <w:iCs/>
      <w:color w:val="4F81BD" w:themeColor="accent1"/>
      <w:sz w:val="28"/>
    </w:rPr>
  </w:style>
  <w:style w:type="character" w:customStyle="1" w:styleId="berschrift5Zeichen">
    <w:name w:val="Überschrift 5 Zeichen"/>
    <w:basedOn w:val="Absatzstandardschriftart"/>
    <w:link w:val="berschrift5"/>
    <w:uiPriority w:val="9"/>
    <w:semiHidden/>
    <w:rsid w:val="002E1E47"/>
    <w:rPr>
      <w:rFonts w:asciiTheme="majorHAnsi" w:eastAsiaTheme="majorEastAsia" w:hAnsiTheme="majorHAnsi" w:cstheme="majorBidi"/>
      <w:color w:val="243F60" w:themeColor="accent1" w:themeShade="7F"/>
      <w:sz w:val="28"/>
    </w:rPr>
  </w:style>
  <w:style w:type="character" w:customStyle="1" w:styleId="berschrift6Zeichen">
    <w:name w:val="Überschrift 6 Zeichen"/>
    <w:basedOn w:val="Absatzstandardschriftart"/>
    <w:link w:val="berschrift6"/>
    <w:uiPriority w:val="9"/>
    <w:semiHidden/>
    <w:rsid w:val="002E1E47"/>
    <w:rPr>
      <w:rFonts w:asciiTheme="majorHAnsi" w:eastAsiaTheme="majorEastAsia" w:hAnsiTheme="majorHAnsi" w:cstheme="majorBidi"/>
      <w:i/>
      <w:iCs/>
      <w:color w:val="243F60" w:themeColor="accent1" w:themeShade="7F"/>
      <w:sz w:val="28"/>
    </w:rPr>
  </w:style>
  <w:style w:type="character" w:customStyle="1" w:styleId="berschrift7Zeichen">
    <w:name w:val="Überschrift 7 Zeichen"/>
    <w:basedOn w:val="Absatzstandardschriftart"/>
    <w:link w:val="berschrift7"/>
    <w:uiPriority w:val="9"/>
    <w:semiHidden/>
    <w:rsid w:val="002E1E47"/>
    <w:rPr>
      <w:rFonts w:asciiTheme="majorHAnsi" w:eastAsiaTheme="majorEastAsia" w:hAnsiTheme="majorHAnsi" w:cstheme="majorBidi"/>
      <w:i/>
      <w:iCs/>
      <w:color w:val="404040" w:themeColor="text1" w:themeTint="BF"/>
      <w:sz w:val="28"/>
    </w:rPr>
  </w:style>
  <w:style w:type="character" w:customStyle="1" w:styleId="berschrift8Zeichen">
    <w:name w:val="Überschrift 8 Zeichen"/>
    <w:basedOn w:val="Absatzstandardschriftart"/>
    <w:link w:val="berschrift8"/>
    <w:uiPriority w:val="9"/>
    <w:semiHidden/>
    <w:rsid w:val="002E1E47"/>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semiHidden/>
    <w:rsid w:val="002E1E47"/>
    <w:rPr>
      <w:rFonts w:asciiTheme="majorHAnsi" w:eastAsiaTheme="majorEastAsia" w:hAnsiTheme="majorHAnsi" w:cstheme="majorBidi"/>
      <w:i/>
      <w:iCs/>
      <w:color w:val="404040" w:themeColor="text1" w:themeTint="BF"/>
      <w:sz w:val="20"/>
      <w:szCs w:val="20"/>
    </w:rPr>
  </w:style>
  <w:style w:type="character" w:customStyle="1" w:styleId="FunotentextZeichen">
    <w:name w:val="Fußnotentext Zeichen"/>
    <w:basedOn w:val="Absatzstandardschriftart"/>
    <w:link w:val="Funotentext"/>
    <w:uiPriority w:val="99"/>
    <w:rsid w:val="002D6D7E"/>
    <w:rPr>
      <w:rFonts w:asciiTheme="majorHAnsi" w:hAnsiTheme="majorHAnsi"/>
    </w:rPr>
  </w:style>
  <w:style w:type="character" w:styleId="Funotenzeichen">
    <w:name w:val="footnote reference"/>
    <w:basedOn w:val="Absatzstandardschriftart"/>
    <w:uiPriority w:val="99"/>
    <w:unhideWhenUsed/>
    <w:rsid w:val="002D6D7E"/>
    <w:rPr>
      <w:vertAlign w:val="superscript"/>
    </w:rPr>
  </w:style>
  <w:style w:type="character" w:styleId="Link">
    <w:name w:val="Hyperlink"/>
    <w:basedOn w:val="Absatzstandardschriftart"/>
    <w:uiPriority w:val="99"/>
    <w:unhideWhenUsed/>
    <w:rsid w:val="00C44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zrwp.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2333</Words>
  <Characters>14703</Characters>
  <Application>Microsoft Macintosh Word</Application>
  <DocSecurity>0</DocSecurity>
  <Lines>122</Lines>
  <Paragraphs>34</Paragraphs>
  <ScaleCrop>false</ScaleCrop>
  <Company>Universität Bern</Company>
  <LinksUpToDate>false</LinksUpToDate>
  <CharactersWithSpaces>17002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Plüss</dc:creator>
  <cp:keywords/>
  <dc:description/>
  <cp:lastModifiedBy>David Plüss</cp:lastModifiedBy>
  <cp:revision>67</cp:revision>
  <dcterms:created xsi:type="dcterms:W3CDTF">2015-03-31T06:32:00Z</dcterms:created>
  <dcterms:modified xsi:type="dcterms:W3CDTF">2015-03-31T08:22:00Z</dcterms:modified>
</cp:coreProperties>
</file>